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3E" w:rsidRDefault="00DB493E" w:rsidP="00DB49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493E" w:rsidRDefault="00DB493E" w:rsidP="00DB49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103.190  Interruption of disbursement and grant cancellation (Repealed)</w:t>
      </w:r>
      <w:r>
        <w:t xml:space="preserve"> </w:t>
      </w:r>
    </w:p>
    <w:p w:rsidR="00DB493E" w:rsidRDefault="00DB493E" w:rsidP="00DB493E">
      <w:pPr>
        <w:widowControl w:val="0"/>
        <w:autoSpaceDE w:val="0"/>
        <w:autoSpaceDN w:val="0"/>
        <w:adjustRightInd w:val="0"/>
      </w:pPr>
    </w:p>
    <w:p w:rsidR="00DB493E" w:rsidRDefault="00DB493E" w:rsidP="00DB493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18160, effective November 30, 2000) </w:t>
      </w:r>
    </w:p>
    <w:sectPr w:rsidR="00DB493E" w:rsidSect="00DB49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493E"/>
    <w:rsid w:val="005C3366"/>
    <w:rsid w:val="00A55A26"/>
    <w:rsid w:val="00C7622A"/>
    <w:rsid w:val="00DB493E"/>
    <w:rsid w:val="00F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2012-06-21T20:26:00Z</dcterms:modified>
</cp:coreProperties>
</file>