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2F" w:rsidRDefault="002F082F" w:rsidP="002F08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082F" w:rsidRDefault="002F082F" w:rsidP="002F08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103.110   Allowable/non-allowable expenses (Repealed)</w:t>
      </w:r>
      <w:r>
        <w:t xml:space="preserve"> </w:t>
      </w:r>
    </w:p>
    <w:p w:rsidR="002F082F" w:rsidRDefault="002F082F" w:rsidP="002F082F">
      <w:pPr>
        <w:widowControl w:val="0"/>
        <w:autoSpaceDE w:val="0"/>
        <w:autoSpaceDN w:val="0"/>
        <w:adjustRightInd w:val="0"/>
      </w:pPr>
    </w:p>
    <w:p w:rsidR="002F082F" w:rsidRDefault="002F082F" w:rsidP="002F082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18160, effective November 30, 2000) </w:t>
      </w:r>
    </w:p>
    <w:sectPr w:rsidR="002F082F" w:rsidSect="002F08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082F"/>
    <w:rsid w:val="00247B1F"/>
    <w:rsid w:val="002F082F"/>
    <w:rsid w:val="005C3366"/>
    <w:rsid w:val="00810DC8"/>
    <w:rsid w:val="00C1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2012-06-21T20:26:00Z</dcterms:modified>
</cp:coreProperties>
</file>