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BE" w:rsidRDefault="007F6EBE" w:rsidP="007F6EB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(Editor's Note:  This Part is a joint rule of the Department of Human Rights and the Human Rights Commission.  The text of this Part appears at 56 Ill.</w:t>
      </w:r>
      <w:r w:rsidR="00471AC2">
        <w:t xml:space="preserve"> Adm. Code 2500.) </w:t>
      </w:r>
    </w:p>
    <w:sectPr w:rsidR="007F6EBE" w:rsidSect="007F6E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6EBE"/>
    <w:rsid w:val="001E58E3"/>
    <w:rsid w:val="003A0067"/>
    <w:rsid w:val="00471AC2"/>
    <w:rsid w:val="005C3366"/>
    <w:rsid w:val="007F6EBE"/>
    <w:rsid w:val="009F6EBF"/>
    <w:rsid w:val="00D2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(Editor's Note:  This Part is a joint rule of the Department of Human Rights and the Human Rights Commission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(Editor's Note:  This Part is a joint rule of the Department of Human Rights and the Human Rights Commission</dc:title>
  <dc:subject/>
  <dc:creator>Illinois General Assembly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