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202.10</w:t>
      </w:r>
      <w:r>
        <w:tab/>
        <w:t xml:space="preserve">Authority and Application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202.20</w:t>
      </w:r>
      <w:r>
        <w:tab/>
        <w:t xml:space="preserve">Definitions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202.30</w:t>
      </w:r>
      <w:r>
        <w:tab/>
        <w:t xml:space="preserve">Restrictions on the Transaction of Business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202.40</w:t>
      </w:r>
      <w:r>
        <w:tab/>
        <w:t xml:space="preserve">Reinsurance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202.50</w:t>
      </w:r>
      <w:r>
        <w:tab/>
        <w:t xml:space="preserve">Reserves </w:t>
      </w:r>
    </w:p>
    <w:p w:rsidR="002C704B" w:rsidRDefault="002C704B" w:rsidP="00064DE2">
      <w:pPr>
        <w:widowControl w:val="0"/>
        <w:autoSpaceDE w:val="0"/>
        <w:autoSpaceDN w:val="0"/>
        <w:adjustRightInd w:val="0"/>
        <w:ind w:left="1425" w:hanging="1425"/>
      </w:pPr>
      <w:r>
        <w:t>202.60</w:t>
      </w:r>
      <w:r>
        <w:tab/>
        <w:t xml:space="preserve">General </w:t>
      </w:r>
    </w:p>
    <w:p w:rsidR="002C704B" w:rsidRDefault="00A73D08" w:rsidP="00064DE2">
      <w:pPr>
        <w:widowControl w:val="0"/>
        <w:autoSpaceDE w:val="0"/>
        <w:autoSpaceDN w:val="0"/>
        <w:adjustRightInd w:val="0"/>
        <w:ind w:left="2880" w:hanging="2880"/>
      </w:pPr>
      <w:r>
        <w:t>202.</w:t>
      </w:r>
      <w:r w:rsidR="002C704B">
        <w:t>ILLUSTRATION A</w:t>
      </w:r>
      <w:r w:rsidR="002C704B">
        <w:tab/>
        <w:t xml:space="preserve">Unearned Premium Factor to be Applied to Premiums In Force on Valuation Date </w:t>
      </w:r>
    </w:p>
    <w:sectPr w:rsidR="002C704B" w:rsidSect="002C70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04B"/>
    <w:rsid w:val="00064DE2"/>
    <w:rsid w:val="000A0177"/>
    <w:rsid w:val="000D2EE8"/>
    <w:rsid w:val="002C704B"/>
    <w:rsid w:val="008D7285"/>
    <w:rsid w:val="00A73D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