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5C" w:rsidRDefault="00636F5C" w:rsidP="00636F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6F5C" w:rsidRDefault="00636F5C" w:rsidP="00636F5C">
      <w:pPr>
        <w:widowControl w:val="0"/>
        <w:autoSpaceDE w:val="0"/>
        <w:autoSpaceDN w:val="0"/>
        <w:adjustRightInd w:val="0"/>
        <w:jc w:val="center"/>
      </w:pPr>
      <w:r>
        <w:t>SUBPART L:  TENANTS AND OCCUPANCY</w:t>
      </w:r>
    </w:p>
    <w:sectPr w:rsidR="00636F5C" w:rsidSect="00636F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6F5C"/>
    <w:rsid w:val="00437A55"/>
    <w:rsid w:val="004C07E2"/>
    <w:rsid w:val="005C3366"/>
    <w:rsid w:val="00636F5C"/>
    <w:rsid w:val="006B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L:  TENANTS AND OCCUPANCY</vt:lpstr>
    </vt:vector>
  </TitlesOfParts>
  <Company>General Assembly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L:  TENANTS AND OCCUPANCY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