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72" w:rsidRDefault="00395572" w:rsidP="00395572">
      <w:pPr>
        <w:widowControl w:val="0"/>
        <w:autoSpaceDE w:val="0"/>
        <w:autoSpaceDN w:val="0"/>
        <w:adjustRightInd w:val="0"/>
      </w:pPr>
      <w:bookmarkStart w:id="0" w:name="_GoBack"/>
      <w:bookmarkEnd w:id="0"/>
    </w:p>
    <w:p w:rsidR="00395572" w:rsidRDefault="00395572" w:rsidP="00395572">
      <w:pPr>
        <w:widowControl w:val="0"/>
        <w:autoSpaceDE w:val="0"/>
        <w:autoSpaceDN w:val="0"/>
        <w:adjustRightInd w:val="0"/>
      </w:pPr>
      <w:r>
        <w:rPr>
          <w:b/>
          <w:bCs/>
        </w:rPr>
        <w:t>Section 250.302  Yield on Mortgage Loans</w:t>
      </w:r>
      <w:r>
        <w:t xml:space="preserve"> </w:t>
      </w:r>
    </w:p>
    <w:p w:rsidR="00395572" w:rsidRDefault="00395572" w:rsidP="00395572">
      <w:pPr>
        <w:widowControl w:val="0"/>
        <w:autoSpaceDE w:val="0"/>
        <w:autoSpaceDN w:val="0"/>
        <w:adjustRightInd w:val="0"/>
      </w:pPr>
    </w:p>
    <w:p w:rsidR="00395572" w:rsidRDefault="00395572" w:rsidP="00395572">
      <w:pPr>
        <w:widowControl w:val="0"/>
        <w:autoSpaceDE w:val="0"/>
        <w:autoSpaceDN w:val="0"/>
        <w:adjustRightInd w:val="0"/>
      </w:pPr>
      <w:r>
        <w:t xml:space="preserve">In no event shall the yield on Mortgage Loans sold to the Authority exceed the maximum permitted by application of the provisions of Section 103(c) and 103A of the Internal Revenue Code of 1954, 26 U.S.C. Sections 103(c) and 103A, as amended from time to time and applicable regulations promulgated by the Treasury Department thereunder. </w:t>
      </w:r>
    </w:p>
    <w:sectPr w:rsidR="00395572" w:rsidSect="003955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5572"/>
    <w:rsid w:val="00395572"/>
    <w:rsid w:val="00593CDB"/>
    <w:rsid w:val="005C3366"/>
    <w:rsid w:val="00847A42"/>
    <w:rsid w:val="009E5BE5"/>
    <w:rsid w:val="00D23CDD"/>
    <w:rsid w:val="00DB2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