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99" w:rsidRDefault="00DE2E99" w:rsidP="00DE2E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E99" w:rsidRDefault="00DE2E99" w:rsidP="00DE2E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1150.800  Prequalification</w:t>
      </w:r>
      <w:r>
        <w:t xml:space="preserve"> </w:t>
      </w:r>
    </w:p>
    <w:p w:rsidR="00DE2E99" w:rsidRDefault="00DE2E99" w:rsidP="00DE2E99">
      <w:pPr>
        <w:widowControl w:val="0"/>
        <w:autoSpaceDE w:val="0"/>
        <w:autoSpaceDN w:val="0"/>
        <w:adjustRightInd w:val="0"/>
      </w:pPr>
    </w:p>
    <w:p w:rsidR="00DE2E99" w:rsidRDefault="00DE2E99" w:rsidP="00DE2E99">
      <w:pPr>
        <w:widowControl w:val="0"/>
        <w:autoSpaceDE w:val="0"/>
        <w:autoSpaceDN w:val="0"/>
        <w:adjustRightInd w:val="0"/>
      </w:pPr>
      <w:r>
        <w:t xml:space="preserve">All architectural, engineering, or land surveying Consultants desiring to provide service to the Department in connection with the AML program, whether as prime Consultants or </w:t>
      </w:r>
      <w:proofErr w:type="spellStart"/>
      <w:r>
        <w:t>subconsultants</w:t>
      </w:r>
      <w:proofErr w:type="spellEnd"/>
      <w:r>
        <w:t xml:space="preserve">, must be prequalified by the Department of Transportation for the categories of service identified within each project description. </w:t>
      </w:r>
    </w:p>
    <w:p w:rsidR="00DE2E99" w:rsidRDefault="00DE2E99" w:rsidP="00DE2E99">
      <w:pPr>
        <w:widowControl w:val="0"/>
        <w:autoSpaceDE w:val="0"/>
        <w:autoSpaceDN w:val="0"/>
        <w:adjustRightInd w:val="0"/>
      </w:pPr>
    </w:p>
    <w:p w:rsidR="00DE2E99" w:rsidRDefault="00DE2E99" w:rsidP="00DE2E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15581, effective August  17, 1998) </w:t>
      </w:r>
    </w:p>
    <w:sectPr w:rsidR="00DE2E99" w:rsidSect="00DE2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E99"/>
    <w:rsid w:val="00092C9A"/>
    <w:rsid w:val="005C3366"/>
    <w:rsid w:val="00BB523A"/>
    <w:rsid w:val="00DE2E99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