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28" w:rsidRDefault="000C4D28" w:rsidP="000C4D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4D28" w:rsidRDefault="000C4D28" w:rsidP="000C4D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1000.200  Small Projects</w:t>
      </w:r>
      <w:r>
        <w:t xml:space="preserve"> </w:t>
      </w:r>
    </w:p>
    <w:p w:rsidR="000C4D28" w:rsidRDefault="000C4D28" w:rsidP="000C4D28">
      <w:pPr>
        <w:widowControl w:val="0"/>
        <w:autoSpaceDE w:val="0"/>
        <w:autoSpaceDN w:val="0"/>
        <w:adjustRightInd w:val="0"/>
      </w:pPr>
    </w:p>
    <w:p w:rsidR="000C4D28" w:rsidRDefault="000C4D28" w:rsidP="000C4D28">
      <w:pPr>
        <w:widowControl w:val="0"/>
        <w:autoSpaceDE w:val="0"/>
        <w:autoSpaceDN w:val="0"/>
        <w:adjustRightInd w:val="0"/>
      </w:pPr>
      <w:r>
        <w:t xml:space="preserve">For contracts whose estimated value is less than $25,000, CDB may select any prequalified A/E in accordance with Section 45 of the Architectural, Engineering, and Land Surveying Qualification Based Selection Act [30 ILCS 535]. </w:t>
      </w:r>
    </w:p>
    <w:p w:rsidR="000C4D28" w:rsidRDefault="000C4D28" w:rsidP="000C4D28">
      <w:pPr>
        <w:widowControl w:val="0"/>
        <w:autoSpaceDE w:val="0"/>
        <w:autoSpaceDN w:val="0"/>
        <w:adjustRightInd w:val="0"/>
      </w:pPr>
    </w:p>
    <w:p w:rsidR="000C4D28" w:rsidRDefault="000C4D28" w:rsidP="00DE1D24">
      <w:pPr>
        <w:widowControl w:val="0"/>
        <w:autoSpaceDE w:val="0"/>
        <w:autoSpaceDN w:val="0"/>
        <w:adjustRightInd w:val="0"/>
        <w:ind w:left="741"/>
      </w:pPr>
      <w:r>
        <w:t xml:space="preserve">(Source:  Amended at 24 Ill. Reg. 11618, effective July 24, 2000) </w:t>
      </w:r>
    </w:p>
    <w:sectPr w:rsidR="000C4D28" w:rsidSect="000C4D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4D28"/>
    <w:rsid w:val="000C4D28"/>
    <w:rsid w:val="000F04E1"/>
    <w:rsid w:val="00A602BE"/>
    <w:rsid w:val="00AE4863"/>
    <w:rsid w:val="00DE1D24"/>
    <w:rsid w:val="00E3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MessingerRR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