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2B" w:rsidRDefault="00C0462B" w:rsidP="00C046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462B" w:rsidRDefault="00C0462B" w:rsidP="00C046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1075.480  Manner of Display of Annual Meeting Notice</w:t>
      </w:r>
      <w:r>
        <w:t xml:space="preserve"> </w:t>
      </w:r>
    </w:p>
    <w:p w:rsidR="00C0462B" w:rsidRDefault="00C0462B" w:rsidP="00C0462B">
      <w:pPr>
        <w:widowControl w:val="0"/>
        <w:autoSpaceDE w:val="0"/>
        <w:autoSpaceDN w:val="0"/>
        <w:adjustRightInd w:val="0"/>
      </w:pPr>
    </w:p>
    <w:p w:rsidR="00C0462B" w:rsidRDefault="00C0462B" w:rsidP="00C0462B">
      <w:pPr>
        <w:widowControl w:val="0"/>
        <w:autoSpaceDE w:val="0"/>
        <w:autoSpaceDN w:val="0"/>
        <w:adjustRightInd w:val="0"/>
      </w:pPr>
      <w:r>
        <w:t>Notice as required pursuant to Section 4003(a) of the Act shall be prominently displayed and</w:t>
      </w:r>
      <w:r w:rsidR="005D2CAB">
        <w:t xml:space="preserve"> </w:t>
      </w:r>
      <w:r>
        <w:t xml:space="preserve">located in plain view of customers at each business location with at least one copy on or near each door or entrance accessible to the general public. </w:t>
      </w:r>
    </w:p>
    <w:p w:rsidR="00C0462B" w:rsidRDefault="00C0462B" w:rsidP="00C0462B">
      <w:pPr>
        <w:widowControl w:val="0"/>
        <w:autoSpaceDE w:val="0"/>
        <w:autoSpaceDN w:val="0"/>
        <w:adjustRightInd w:val="0"/>
      </w:pPr>
    </w:p>
    <w:p w:rsidR="00C0462B" w:rsidRDefault="00C0462B" w:rsidP="00C046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6719, effective March 30, 1998) </w:t>
      </w:r>
    </w:p>
    <w:sectPr w:rsidR="00C0462B" w:rsidSect="00C046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62B"/>
    <w:rsid w:val="000648A4"/>
    <w:rsid w:val="00246CE1"/>
    <w:rsid w:val="005C3366"/>
    <w:rsid w:val="005D2CAB"/>
    <w:rsid w:val="00C0462B"/>
    <w:rsid w:val="00E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