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77" w:rsidRDefault="009A2877" w:rsidP="009A28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2877" w:rsidRDefault="009A2877" w:rsidP="009A2877">
      <w:pPr>
        <w:widowControl w:val="0"/>
        <w:autoSpaceDE w:val="0"/>
        <w:autoSpaceDN w:val="0"/>
        <w:adjustRightInd w:val="0"/>
        <w:jc w:val="center"/>
      </w:pPr>
      <w:r>
        <w:t>SUBPART L:  THIRD-PARTY PAYMENT ACCOUNTS</w:t>
      </w:r>
    </w:p>
    <w:sectPr w:rsidR="009A2877" w:rsidSect="009A28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2877"/>
    <w:rsid w:val="001D4281"/>
    <w:rsid w:val="005C3366"/>
    <w:rsid w:val="005E651F"/>
    <w:rsid w:val="006A1885"/>
    <w:rsid w:val="009A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L:  THIRD-PARTY PAYMENT ACCOUNTS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L:  THIRD-PARTY PAYMENT ACCOUNTS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