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A0" w:rsidRDefault="001E12A0" w:rsidP="001E12A0">
      <w:pPr>
        <w:widowControl w:val="0"/>
        <w:autoSpaceDE w:val="0"/>
        <w:autoSpaceDN w:val="0"/>
        <w:adjustRightInd w:val="0"/>
      </w:pPr>
      <w:bookmarkStart w:id="0" w:name="_GoBack"/>
      <w:bookmarkEnd w:id="0"/>
    </w:p>
    <w:p w:rsidR="001E12A0" w:rsidRDefault="001E12A0" w:rsidP="001E12A0">
      <w:pPr>
        <w:widowControl w:val="0"/>
        <w:autoSpaceDE w:val="0"/>
        <w:autoSpaceDN w:val="0"/>
        <w:adjustRightInd w:val="0"/>
      </w:pPr>
      <w:r>
        <w:rPr>
          <w:b/>
          <w:bCs/>
        </w:rPr>
        <w:t>Section 1000.1340  Effect on Reserve Requirements</w:t>
      </w:r>
      <w:r>
        <w:t xml:space="preserve"> </w:t>
      </w:r>
    </w:p>
    <w:p w:rsidR="001E12A0" w:rsidRDefault="001E12A0" w:rsidP="001E12A0">
      <w:pPr>
        <w:widowControl w:val="0"/>
        <w:autoSpaceDE w:val="0"/>
        <w:autoSpaceDN w:val="0"/>
        <w:adjustRightInd w:val="0"/>
      </w:pPr>
    </w:p>
    <w:p w:rsidR="001E12A0" w:rsidRDefault="001E12A0" w:rsidP="001E12A0">
      <w:pPr>
        <w:widowControl w:val="0"/>
        <w:autoSpaceDE w:val="0"/>
        <w:autoSpaceDN w:val="0"/>
        <w:adjustRightInd w:val="0"/>
      </w:pPr>
      <w:r>
        <w:t xml:space="preserve">The amounts of outstanding capital notes or debentures legally issued by an association shall be treated as net worth for the purpose of computing net worth and any other general reserve requirements. </w:t>
      </w:r>
    </w:p>
    <w:sectPr w:rsidR="001E12A0" w:rsidSect="001E12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2A0"/>
    <w:rsid w:val="001E12A0"/>
    <w:rsid w:val="00314C70"/>
    <w:rsid w:val="005C3366"/>
    <w:rsid w:val="00814DAD"/>
    <w:rsid w:val="0091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