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870" w14:textId="77777777" w:rsidR="001634BD" w:rsidRDefault="001634BD" w:rsidP="003E35F5">
      <w:pPr>
        <w:widowControl w:val="0"/>
        <w:autoSpaceDE w:val="0"/>
        <w:autoSpaceDN w:val="0"/>
        <w:adjustRightInd w:val="0"/>
        <w:rPr>
          <w:b/>
          <w:bCs/>
          <w:szCs w:val="24"/>
        </w:rPr>
      </w:pPr>
    </w:p>
    <w:p w14:paraId="006CD492" w14:textId="77777777" w:rsidR="003E35F5" w:rsidRPr="003E35F5" w:rsidRDefault="003E35F5" w:rsidP="003E35F5">
      <w:pPr>
        <w:widowControl w:val="0"/>
        <w:autoSpaceDE w:val="0"/>
        <w:autoSpaceDN w:val="0"/>
        <w:adjustRightInd w:val="0"/>
        <w:rPr>
          <w:b/>
          <w:bCs/>
          <w:szCs w:val="24"/>
        </w:rPr>
      </w:pPr>
      <w:r w:rsidRPr="003E35F5">
        <w:rPr>
          <w:b/>
          <w:bCs/>
          <w:szCs w:val="24"/>
        </w:rPr>
        <w:t>Section 215.10  Definitions</w:t>
      </w:r>
    </w:p>
    <w:p w14:paraId="6A239D75" w14:textId="77777777" w:rsidR="003E35F5" w:rsidRPr="003E35F5" w:rsidRDefault="003E35F5" w:rsidP="003E35F5">
      <w:pPr>
        <w:widowControl w:val="0"/>
        <w:autoSpaceDE w:val="0"/>
        <w:autoSpaceDN w:val="0"/>
        <w:adjustRightInd w:val="0"/>
        <w:rPr>
          <w:szCs w:val="24"/>
        </w:rPr>
      </w:pPr>
    </w:p>
    <w:p w14:paraId="735C8916" w14:textId="77777777" w:rsidR="003E35F5" w:rsidRPr="0087273A" w:rsidRDefault="0087273A" w:rsidP="0087273A">
      <w:pPr>
        <w:ind w:left="720" w:firstLine="720"/>
      </w:pPr>
      <w:r>
        <w:t>"</w:t>
      </w:r>
      <w:r w:rsidR="003E35F5" w:rsidRPr="0087273A">
        <w:t>Act</w:t>
      </w:r>
      <w:r>
        <w:t>"</w:t>
      </w:r>
      <w:r w:rsidR="003E35F5" w:rsidRPr="0087273A">
        <w:t xml:space="preserve"> means the Predatory Loan Prevention Act</w:t>
      </w:r>
      <w:r w:rsidR="000B1805">
        <w:t xml:space="preserve"> [815 ILCS 123]</w:t>
      </w:r>
      <w:r w:rsidR="003E35F5" w:rsidRPr="0087273A">
        <w:t>.</w:t>
      </w:r>
    </w:p>
    <w:p w14:paraId="400418C3" w14:textId="77777777" w:rsidR="003E35F5" w:rsidRPr="0087273A" w:rsidRDefault="003E35F5" w:rsidP="0087273A"/>
    <w:p w14:paraId="7836CFC5" w14:textId="77777777" w:rsidR="003E35F5" w:rsidRPr="0087273A" w:rsidRDefault="004F79DE" w:rsidP="004F79DE">
      <w:pPr>
        <w:ind w:left="1440"/>
      </w:pPr>
      <w:r w:rsidRPr="007207A1">
        <w:t>"Billing cycle" means the interval between the days or dates of regular periodic statements. Intervals are equal and no longer than a quarter of a year and are considered equal if the number of days in the cycle does not vary more than four days from the regular day or date of the periodic statement.</w:t>
      </w:r>
    </w:p>
    <w:p w14:paraId="69CDBE16" w14:textId="77777777" w:rsidR="003E35F5" w:rsidRPr="0087273A" w:rsidRDefault="003E35F5" w:rsidP="0087273A"/>
    <w:p w14:paraId="15024635" w14:textId="77777777" w:rsidR="003E35F5" w:rsidRPr="0087273A" w:rsidRDefault="0087273A" w:rsidP="0087273A">
      <w:pPr>
        <w:ind w:left="1440"/>
      </w:pPr>
      <w:r>
        <w:t>"</w:t>
      </w:r>
      <w:r w:rsidR="003E35F5" w:rsidRPr="0087273A">
        <w:t>Bureau</w:t>
      </w:r>
      <w:r>
        <w:t>"</w:t>
      </w:r>
      <w:r w:rsidR="00E26D28">
        <w:t xml:space="preserve"> means the federal</w:t>
      </w:r>
      <w:r w:rsidR="003E35F5" w:rsidRPr="0087273A">
        <w:t xml:space="preserve"> Consumer Financial Protection Bureau or the Bureau of Consumer Financial Protection.</w:t>
      </w:r>
    </w:p>
    <w:p w14:paraId="134C2E88" w14:textId="77777777" w:rsidR="003E35F5" w:rsidRPr="0087273A" w:rsidRDefault="003E35F5" w:rsidP="0087273A"/>
    <w:p w14:paraId="6CA1D1A0" w14:textId="77777777" w:rsidR="003E35F5" w:rsidRPr="0087273A" w:rsidRDefault="00E26D28" w:rsidP="00E26D28">
      <w:pPr>
        <w:ind w:left="1440"/>
      </w:pPr>
      <w:r>
        <w:t>"</w:t>
      </w:r>
      <w:r w:rsidRPr="007207A1">
        <w:rPr>
          <w:i/>
        </w:rPr>
        <w:t>Consumer" means any natural person, including those persons acting jointly.</w:t>
      </w:r>
      <w:r>
        <w:t xml:space="preserve">  </w:t>
      </w:r>
      <w:r w:rsidRPr="007207A1">
        <w:t>[815 ILCS 123/15-1-10]</w:t>
      </w:r>
    </w:p>
    <w:p w14:paraId="16F3C623" w14:textId="77777777" w:rsidR="00E26D28" w:rsidRDefault="00E26D28" w:rsidP="001B76EB"/>
    <w:p w14:paraId="2104EC7B" w14:textId="77777777" w:rsidR="003E35F5" w:rsidRPr="0087273A" w:rsidRDefault="00E26D28" w:rsidP="00E26D28">
      <w:pPr>
        <w:ind w:left="720" w:firstLine="720"/>
      </w:pPr>
      <w:r w:rsidRPr="007207A1">
        <w:rPr>
          <w:bCs/>
        </w:rPr>
        <w:t xml:space="preserve">"Closed-end credit" </w:t>
      </w:r>
      <w:r w:rsidRPr="007207A1">
        <w:t xml:space="preserve">means consumer credit other than </w:t>
      </w:r>
      <w:r>
        <w:t>open-end credit.</w:t>
      </w:r>
    </w:p>
    <w:p w14:paraId="54F0F443" w14:textId="77777777" w:rsidR="00E26D28" w:rsidRDefault="00E26D28" w:rsidP="001B76EB"/>
    <w:p w14:paraId="3AD7966A" w14:textId="77777777" w:rsidR="00E26D28" w:rsidRDefault="00E26D28" w:rsidP="0087273A">
      <w:pPr>
        <w:ind w:left="1440"/>
      </w:pPr>
      <w:r w:rsidRPr="007207A1">
        <w:t>"Finance charge" means the cost of consumer credit as a dollar amount. It includes any charge payable directly or indirectly by the consumer and imposed directly or indirectly by the lender as an incident to or a condition of the extension of credit. It does not include any charge of a type payable in a comparable cash transaction.</w:t>
      </w:r>
    </w:p>
    <w:p w14:paraId="7BB245CF" w14:textId="77777777" w:rsidR="00E26D28" w:rsidRDefault="00E26D28" w:rsidP="001B76EB"/>
    <w:p w14:paraId="012D0639" w14:textId="77777777" w:rsidR="00B93B47" w:rsidRPr="007207A1" w:rsidRDefault="00B93B47" w:rsidP="00B93B47">
      <w:pPr>
        <w:pStyle w:val="CommentText"/>
        <w:ind w:left="1350"/>
        <w:rPr>
          <w:sz w:val="24"/>
          <w:szCs w:val="24"/>
        </w:rPr>
      </w:pPr>
      <w:r w:rsidRPr="007207A1">
        <w:rPr>
          <w:i/>
          <w:sz w:val="24"/>
          <w:szCs w:val="24"/>
        </w:rPr>
        <w:t>"Lender" means any person or entity, including any affiliate or subsidiary of a lender, that</w:t>
      </w:r>
      <w:r w:rsidRPr="007207A1">
        <w:rPr>
          <w:sz w:val="24"/>
          <w:szCs w:val="24"/>
        </w:rPr>
        <w:t>:</w:t>
      </w:r>
    </w:p>
    <w:p w14:paraId="37545B1A" w14:textId="77777777" w:rsidR="00B93B47" w:rsidRPr="007207A1" w:rsidRDefault="00B93B47" w:rsidP="001B76EB">
      <w:pPr>
        <w:pStyle w:val="CommentText"/>
        <w:rPr>
          <w:sz w:val="24"/>
          <w:szCs w:val="24"/>
        </w:rPr>
      </w:pPr>
    </w:p>
    <w:p w14:paraId="3A37B63C" w14:textId="77777777" w:rsidR="00B93B47" w:rsidRPr="007207A1" w:rsidRDefault="00B93B47" w:rsidP="00B93B47">
      <w:pPr>
        <w:pStyle w:val="CommentText"/>
        <w:ind w:left="2160"/>
        <w:rPr>
          <w:sz w:val="24"/>
          <w:szCs w:val="24"/>
        </w:rPr>
      </w:pPr>
      <w:r w:rsidRPr="007207A1">
        <w:rPr>
          <w:i/>
          <w:sz w:val="24"/>
          <w:szCs w:val="24"/>
        </w:rPr>
        <w:t>offers or makes a loan</w:t>
      </w:r>
      <w:r w:rsidRPr="007207A1">
        <w:rPr>
          <w:sz w:val="24"/>
          <w:szCs w:val="24"/>
        </w:rPr>
        <w:t xml:space="preserve">; </w:t>
      </w:r>
    </w:p>
    <w:p w14:paraId="0656ED2C" w14:textId="77777777" w:rsidR="00B93B47" w:rsidRPr="007207A1" w:rsidRDefault="00B93B47" w:rsidP="001B76EB">
      <w:pPr>
        <w:pStyle w:val="CommentText"/>
        <w:rPr>
          <w:sz w:val="24"/>
          <w:szCs w:val="24"/>
        </w:rPr>
      </w:pPr>
    </w:p>
    <w:p w14:paraId="4FD56E80" w14:textId="77777777" w:rsidR="00B93B47" w:rsidRPr="007207A1" w:rsidRDefault="00B93B47" w:rsidP="00B93B47">
      <w:pPr>
        <w:pStyle w:val="CommentText"/>
        <w:ind w:left="1440" w:firstLine="720"/>
        <w:rPr>
          <w:sz w:val="24"/>
          <w:szCs w:val="24"/>
        </w:rPr>
      </w:pPr>
      <w:r w:rsidRPr="007207A1">
        <w:rPr>
          <w:i/>
          <w:sz w:val="24"/>
          <w:szCs w:val="24"/>
        </w:rPr>
        <w:t>buys a whole or partial interest in a loan</w:t>
      </w:r>
      <w:r w:rsidRPr="007207A1">
        <w:rPr>
          <w:sz w:val="24"/>
          <w:szCs w:val="24"/>
        </w:rPr>
        <w:t xml:space="preserve">; </w:t>
      </w:r>
    </w:p>
    <w:p w14:paraId="49FD0336" w14:textId="77777777" w:rsidR="00B93B47" w:rsidRPr="007207A1" w:rsidRDefault="00B93B47" w:rsidP="001B76EB">
      <w:pPr>
        <w:pStyle w:val="CommentText"/>
        <w:rPr>
          <w:sz w:val="24"/>
          <w:szCs w:val="24"/>
        </w:rPr>
      </w:pPr>
    </w:p>
    <w:p w14:paraId="0A70F8E0" w14:textId="77777777" w:rsidR="00B93B47" w:rsidRPr="007207A1" w:rsidRDefault="00B93B47" w:rsidP="00B93B47">
      <w:pPr>
        <w:pStyle w:val="CommentText"/>
        <w:ind w:left="2160"/>
        <w:rPr>
          <w:sz w:val="24"/>
          <w:szCs w:val="24"/>
        </w:rPr>
      </w:pPr>
      <w:r w:rsidRPr="007207A1">
        <w:rPr>
          <w:i/>
          <w:sz w:val="24"/>
          <w:szCs w:val="24"/>
        </w:rPr>
        <w:t>arranges a loan for a third party, or acts as an agent for a third party in making a loan, regardless of whether approval, acceptance, or ratification by the third part</w:t>
      </w:r>
      <w:r w:rsidRPr="007207A1">
        <w:rPr>
          <w:sz w:val="24"/>
          <w:szCs w:val="24"/>
        </w:rPr>
        <w:t xml:space="preserve">y is necessary to create a legal obligation for the third party; or </w:t>
      </w:r>
    </w:p>
    <w:p w14:paraId="2B085D14" w14:textId="77777777" w:rsidR="00B93B47" w:rsidRPr="007207A1" w:rsidRDefault="00B93B47" w:rsidP="001B76EB">
      <w:pPr>
        <w:pStyle w:val="CommentText"/>
        <w:rPr>
          <w:sz w:val="24"/>
          <w:szCs w:val="24"/>
        </w:rPr>
      </w:pPr>
    </w:p>
    <w:p w14:paraId="7AE7887A" w14:textId="77777777" w:rsidR="003E35F5" w:rsidRPr="0087273A" w:rsidRDefault="00B93B47" w:rsidP="00B93B47">
      <w:pPr>
        <w:ind w:left="2160"/>
      </w:pPr>
      <w:r w:rsidRPr="007207A1">
        <w:rPr>
          <w:i/>
          <w:szCs w:val="24"/>
        </w:rPr>
        <w:t xml:space="preserve">the Department determines that the person or entity is engaged in a transaction that is in substance a disguised loan or a subterfuge for the purpose of avoiding </w:t>
      </w:r>
      <w:r w:rsidRPr="007207A1">
        <w:rPr>
          <w:szCs w:val="24"/>
        </w:rPr>
        <w:t xml:space="preserve">the </w:t>
      </w:r>
      <w:r w:rsidRPr="007207A1">
        <w:rPr>
          <w:i/>
          <w:szCs w:val="24"/>
        </w:rPr>
        <w:t>Act</w:t>
      </w:r>
      <w:r w:rsidRPr="007207A1">
        <w:rPr>
          <w:szCs w:val="24"/>
        </w:rPr>
        <w:t>.  [815 ILCS 123/15-1-10]</w:t>
      </w:r>
    </w:p>
    <w:p w14:paraId="1F6BA3B6" w14:textId="77777777" w:rsidR="003E35F5" w:rsidRPr="0087273A" w:rsidRDefault="003E35F5" w:rsidP="0087273A"/>
    <w:p w14:paraId="7F744C76" w14:textId="77777777" w:rsidR="003E35F5" w:rsidRPr="0087273A" w:rsidRDefault="00B93B47" w:rsidP="0087273A">
      <w:pPr>
        <w:ind w:left="1440"/>
      </w:pPr>
      <w:r w:rsidRPr="007207A1">
        <w:rPr>
          <w:i/>
        </w:rPr>
        <w:t>"Loan" means money or credit provided to a consumer in exchange for the consumer’s agreement to a certain set of terms, including, but not limited to, any finance charges, interest, or other conditions.</w:t>
      </w:r>
      <w:r w:rsidRPr="007207A1">
        <w:t xml:space="preserve">  "Loan" </w:t>
      </w:r>
      <w:r w:rsidRPr="007207A1">
        <w:rPr>
          <w:i/>
        </w:rPr>
        <w:t>includes closed-end and open-end credit, retail installment sales contracts, motor vehicle retail installment sales contracts, and any transaction conducted via any medium</w:t>
      </w:r>
      <w:r w:rsidRPr="007207A1">
        <w:t xml:space="preserve"> (e.g., </w:t>
      </w:r>
      <w:r w:rsidRPr="007207A1">
        <w:rPr>
          <w:i/>
        </w:rPr>
        <w:t xml:space="preserve">paper, </w:t>
      </w:r>
      <w:r w:rsidRPr="007207A1">
        <w:rPr>
          <w:i/>
        </w:rPr>
        <w:lastRenderedPageBreak/>
        <w:t>facsimile, Internet, telephone</w:t>
      </w:r>
      <w:r w:rsidRPr="007207A1">
        <w:t xml:space="preserve">).  "Loan" </w:t>
      </w:r>
      <w:r w:rsidRPr="007207A1">
        <w:rPr>
          <w:i/>
        </w:rPr>
        <w:t>does not include a commercial loan</w:t>
      </w:r>
      <w:r w:rsidRPr="007207A1">
        <w:t>.  [815 ILCS 123/15-1-10]</w:t>
      </w:r>
    </w:p>
    <w:p w14:paraId="2BA658C8" w14:textId="77777777" w:rsidR="003E35F5" w:rsidRPr="0087273A" w:rsidRDefault="003E35F5" w:rsidP="0087273A"/>
    <w:p w14:paraId="27A8CBB2" w14:textId="77777777" w:rsidR="00B93B47" w:rsidRDefault="00B93B47" w:rsidP="00B93B47">
      <w:pPr>
        <w:pStyle w:val="CommentText"/>
        <w:ind w:left="1440"/>
        <w:rPr>
          <w:bCs/>
          <w:sz w:val="24"/>
          <w:szCs w:val="24"/>
        </w:rPr>
      </w:pPr>
      <w:r w:rsidRPr="007207A1">
        <w:rPr>
          <w:bCs/>
          <w:sz w:val="24"/>
          <w:szCs w:val="24"/>
        </w:rPr>
        <w:t>"Open-end credit" means consumer credit extended by a lender under a plan in which:</w:t>
      </w:r>
    </w:p>
    <w:p w14:paraId="119B39BE" w14:textId="77777777" w:rsidR="00B93B47" w:rsidRPr="007207A1" w:rsidRDefault="00B93B47" w:rsidP="001B76EB">
      <w:pPr>
        <w:pStyle w:val="CommentText"/>
        <w:rPr>
          <w:sz w:val="24"/>
          <w:szCs w:val="24"/>
        </w:rPr>
      </w:pPr>
    </w:p>
    <w:p w14:paraId="0B02EBD8" w14:textId="77777777" w:rsidR="002C1869" w:rsidRDefault="002C1869" w:rsidP="002C1869">
      <w:pPr>
        <w:ind w:left="1440"/>
      </w:pPr>
      <w:r>
        <w:t>"</w:t>
      </w:r>
      <w:r w:rsidRPr="0087273A">
        <w:t>Person</w:t>
      </w:r>
      <w:r>
        <w:t>"</w:t>
      </w:r>
      <w:r w:rsidRPr="0087273A">
        <w:t xml:space="preserve"> means any natural person.</w:t>
      </w:r>
    </w:p>
    <w:p w14:paraId="0A1E6B54" w14:textId="77777777" w:rsidR="002C1869" w:rsidRDefault="002C1869" w:rsidP="001B76EB"/>
    <w:p w14:paraId="4C082F49" w14:textId="77777777" w:rsidR="002C1869" w:rsidRPr="0087273A" w:rsidRDefault="002C1869" w:rsidP="002C1869">
      <w:pPr>
        <w:ind w:left="1440"/>
      </w:pPr>
      <w:r>
        <w:t>"</w:t>
      </w:r>
      <w:r w:rsidRPr="0087273A">
        <w:t>Predatory Loan Prevention Act APR</w:t>
      </w:r>
      <w:r>
        <w:t>"</w:t>
      </w:r>
      <w:r w:rsidRPr="0087273A">
        <w:t xml:space="preserve"> </w:t>
      </w:r>
      <w:r>
        <w:t>or "PLPA APR"</w:t>
      </w:r>
      <w:r w:rsidRPr="0087273A">
        <w:t xml:space="preserve"> is the cost of the consumer credit expressed</w:t>
      </w:r>
      <w:r>
        <w:t xml:space="preserve"> as an annual rate, and is</w:t>
      </w:r>
      <w:r w:rsidRPr="0087273A">
        <w:t xml:space="preserve"> cal</w:t>
      </w:r>
      <w:r>
        <w:t>culated in accordance with 32 CF</w:t>
      </w:r>
      <w:r w:rsidRPr="0087273A">
        <w:t>R. 232.4(c), as in effect on the effective date of the Act and as incorporated in 38</w:t>
      </w:r>
      <w:r>
        <w:t xml:space="preserve"> Ill. Adm. Code</w:t>
      </w:r>
      <w:r w:rsidRPr="0087273A">
        <w:t xml:space="preserve"> 215.  </w:t>
      </w:r>
    </w:p>
    <w:p w14:paraId="710ADF14" w14:textId="77777777" w:rsidR="002C1869" w:rsidRPr="007207A1" w:rsidRDefault="002C1869" w:rsidP="001B76EB">
      <w:pPr>
        <w:pStyle w:val="CommentText"/>
        <w:rPr>
          <w:sz w:val="24"/>
          <w:szCs w:val="24"/>
        </w:rPr>
      </w:pPr>
    </w:p>
    <w:p w14:paraId="491D011E" w14:textId="77777777" w:rsidR="00B93B47" w:rsidRPr="007207A1" w:rsidRDefault="00B93B47" w:rsidP="00B93B47">
      <w:pPr>
        <w:pStyle w:val="CommentText"/>
        <w:ind w:left="1440" w:firstLine="720"/>
        <w:rPr>
          <w:sz w:val="24"/>
          <w:szCs w:val="24"/>
        </w:rPr>
      </w:pPr>
      <w:r w:rsidRPr="007207A1">
        <w:rPr>
          <w:sz w:val="24"/>
          <w:szCs w:val="24"/>
        </w:rPr>
        <w:t>The lender reasonably contemplates repeated transactions;</w:t>
      </w:r>
    </w:p>
    <w:p w14:paraId="78C0C9AA" w14:textId="77777777" w:rsidR="00B93B47" w:rsidRPr="007207A1" w:rsidRDefault="00B93B47" w:rsidP="001B76EB">
      <w:pPr>
        <w:pStyle w:val="CommentText"/>
        <w:rPr>
          <w:sz w:val="24"/>
          <w:szCs w:val="24"/>
        </w:rPr>
      </w:pPr>
    </w:p>
    <w:p w14:paraId="170582EF" w14:textId="77777777" w:rsidR="00B93B47" w:rsidRPr="007207A1" w:rsidRDefault="00B93B47" w:rsidP="00B93B47">
      <w:pPr>
        <w:pStyle w:val="CommentText"/>
        <w:ind w:left="2160"/>
        <w:rPr>
          <w:sz w:val="24"/>
          <w:szCs w:val="24"/>
        </w:rPr>
      </w:pPr>
      <w:r w:rsidRPr="007207A1">
        <w:rPr>
          <w:sz w:val="24"/>
          <w:szCs w:val="24"/>
        </w:rPr>
        <w:t>The lender may impose a finance charge from time to time on an outstanding unpaid balance; and</w:t>
      </w:r>
    </w:p>
    <w:p w14:paraId="497CCE2F" w14:textId="77777777" w:rsidR="00B93B47" w:rsidRPr="007207A1" w:rsidRDefault="00B93B47" w:rsidP="001B76EB">
      <w:pPr>
        <w:pStyle w:val="CommentText"/>
        <w:rPr>
          <w:sz w:val="24"/>
          <w:szCs w:val="24"/>
        </w:rPr>
      </w:pPr>
    </w:p>
    <w:p w14:paraId="53FEC63A" w14:textId="77777777" w:rsidR="003E35F5" w:rsidRDefault="00B93B47" w:rsidP="00B93B47">
      <w:pPr>
        <w:ind w:left="2160"/>
        <w:rPr>
          <w:szCs w:val="24"/>
        </w:rPr>
      </w:pPr>
      <w:r w:rsidRPr="007207A1">
        <w:rPr>
          <w:szCs w:val="24"/>
        </w:rPr>
        <w:t>The amount of credit that may be extended to the consumer during the term of the plan (up to any limit set by the lender) is generally made available to the extent that any outstanding balance is repaid.</w:t>
      </w:r>
    </w:p>
    <w:p w14:paraId="70078126" w14:textId="77777777" w:rsidR="002C1869" w:rsidRPr="0087273A" w:rsidRDefault="002C1869" w:rsidP="001B76EB"/>
    <w:p w14:paraId="6AF28617" w14:textId="77777777" w:rsidR="00474C5E" w:rsidRDefault="00B93B47" w:rsidP="00B93B47">
      <w:pPr>
        <w:ind w:left="1440"/>
      </w:pPr>
      <w:r w:rsidRPr="007207A1">
        <w:t>"Regulation Z" means 12 CFR 1026 and has the same meaning ascribed in 32 CFR 232, as in effect on March 23, 2021.</w:t>
      </w:r>
    </w:p>
    <w:p w14:paraId="750F00C9" w14:textId="77777777" w:rsidR="00B93B47" w:rsidRDefault="00B93B47" w:rsidP="001B76EB">
      <w:pPr>
        <w:widowControl w:val="0"/>
        <w:autoSpaceDE w:val="0"/>
        <w:autoSpaceDN w:val="0"/>
        <w:adjustRightInd w:val="0"/>
        <w:rPr>
          <w:szCs w:val="24"/>
        </w:rPr>
      </w:pPr>
    </w:p>
    <w:p w14:paraId="5B9E1687" w14:textId="77777777" w:rsidR="00474C5E" w:rsidRPr="00474C5E" w:rsidRDefault="00474C5E" w:rsidP="003B59BA">
      <w:pPr>
        <w:widowControl w:val="0"/>
        <w:autoSpaceDE w:val="0"/>
        <w:autoSpaceDN w:val="0"/>
        <w:adjustRightInd w:val="0"/>
        <w:ind w:left="1440"/>
        <w:rPr>
          <w:szCs w:val="24"/>
        </w:rPr>
      </w:pPr>
      <w:r w:rsidRPr="00474C5E">
        <w:rPr>
          <w:szCs w:val="24"/>
        </w:rPr>
        <w:t xml:space="preserve">Words that are not defined in this part have the same meanings </w:t>
      </w:r>
      <w:r w:rsidR="00B93B47">
        <w:rPr>
          <w:szCs w:val="24"/>
        </w:rPr>
        <w:t>ascribed in Regulation Z (12 CFR 1026), including any interpretation</w:t>
      </w:r>
      <w:r w:rsidRPr="00474C5E">
        <w:rPr>
          <w:szCs w:val="24"/>
        </w:rPr>
        <w:t xml:space="preserve"> by the Bureau or an official or employee of the Bureau duly author</w:t>
      </w:r>
      <w:r w:rsidR="00B93B47">
        <w:rPr>
          <w:szCs w:val="24"/>
        </w:rPr>
        <w:t>ized by the Bureau to issue those</w:t>
      </w:r>
      <w:r w:rsidRPr="00474C5E">
        <w:rPr>
          <w:szCs w:val="24"/>
        </w:rPr>
        <w:t xml:space="preserve"> interpretations. </w:t>
      </w:r>
    </w:p>
    <w:p w14:paraId="5AD32E74" w14:textId="77777777" w:rsidR="00474C5E" w:rsidRPr="00474C5E" w:rsidRDefault="00474C5E" w:rsidP="00815B8B">
      <w:pPr>
        <w:widowControl w:val="0"/>
        <w:autoSpaceDE w:val="0"/>
        <w:autoSpaceDN w:val="0"/>
        <w:adjustRightInd w:val="0"/>
        <w:rPr>
          <w:szCs w:val="24"/>
        </w:rPr>
      </w:pPr>
    </w:p>
    <w:p w14:paraId="72AA0A2E" w14:textId="77777777" w:rsidR="00474C5E" w:rsidRPr="00474C5E" w:rsidRDefault="00474C5E" w:rsidP="007D71AE">
      <w:pPr>
        <w:widowControl w:val="0"/>
        <w:autoSpaceDE w:val="0"/>
        <w:autoSpaceDN w:val="0"/>
        <w:adjustRightInd w:val="0"/>
        <w:ind w:left="1440"/>
        <w:rPr>
          <w:szCs w:val="24"/>
        </w:rPr>
      </w:pPr>
      <w:r w:rsidRPr="00474C5E">
        <w:rPr>
          <w:szCs w:val="24"/>
        </w:rPr>
        <w:t>Word</w:t>
      </w:r>
      <w:r w:rsidR="00B93B47">
        <w:rPr>
          <w:szCs w:val="24"/>
        </w:rPr>
        <w:t>s that are not defined in this P</w:t>
      </w:r>
      <w:r w:rsidRPr="00474C5E">
        <w:rPr>
          <w:szCs w:val="24"/>
        </w:rPr>
        <w:t xml:space="preserve">art or Regulation Z, or any interpretation </w:t>
      </w:r>
      <w:r w:rsidR="00B93B47" w:rsidRPr="007207A1">
        <w:t>o</w:t>
      </w:r>
      <w:r w:rsidR="00B93B47">
        <w:t>f</w:t>
      </w:r>
      <w:r w:rsidR="00B93B47" w:rsidRPr="007207A1">
        <w:t xml:space="preserve"> Regulation Z, have the same meanings ascribed in applicable State or federal law.</w:t>
      </w:r>
    </w:p>
    <w:sectPr w:rsidR="00474C5E" w:rsidRPr="00474C5E"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F087" w14:textId="77777777" w:rsidR="00DF56A2" w:rsidRDefault="00DF56A2">
      <w:r>
        <w:separator/>
      </w:r>
    </w:p>
  </w:endnote>
  <w:endnote w:type="continuationSeparator" w:id="0">
    <w:p w14:paraId="5A7713FF" w14:textId="77777777" w:rsidR="00DF56A2" w:rsidRDefault="00D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7216" w14:textId="77777777" w:rsidR="00DF56A2" w:rsidRDefault="00DF56A2">
      <w:r>
        <w:separator/>
      </w:r>
    </w:p>
  </w:footnote>
  <w:footnote w:type="continuationSeparator" w:id="0">
    <w:p w14:paraId="37B81EDE" w14:textId="77777777" w:rsidR="00DF56A2" w:rsidRDefault="00DF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028B3"/>
    <w:multiLevelType w:val="hybridMultilevel"/>
    <w:tmpl w:val="977ACA0C"/>
    <w:lvl w:ilvl="0" w:tplc="4C9438D4">
      <w:start w:val="3"/>
      <w:numFmt w:val="lowerLetter"/>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6F93"/>
    <w:rsid w:val="00001F1D"/>
    <w:rsid w:val="0000724F"/>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1805"/>
    <w:rsid w:val="000B2808"/>
    <w:rsid w:val="000B2839"/>
    <w:rsid w:val="000B4119"/>
    <w:rsid w:val="000C6D3D"/>
    <w:rsid w:val="000C7A6D"/>
    <w:rsid w:val="000D074F"/>
    <w:rsid w:val="000D225F"/>
    <w:rsid w:val="000D269B"/>
    <w:rsid w:val="000E08CB"/>
    <w:rsid w:val="000E6BBD"/>
    <w:rsid w:val="000E6F93"/>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4BD"/>
    <w:rsid w:val="00163EEE"/>
    <w:rsid w:val="00164756"/>
    <w:rsid w:val="00165CF9"/>
    <w:rsid w:val="001830D0"/>
    <w:rsid w:val="00193ABB"/>
    <w:rsid w:val="0019502A"/>
    <w:rsid w:val="001A6EDB"/>
    <w:rsid w:val="001B5F27"/>
    <w:rsid w:val="001B76EB"/>
    <w:rsid w:val="001C1D61"/>
    <w:rsid w:val="001C71C2"/>
    <w:rsid w:val="001C7D95"/>
    <w:rsid w:val="001D0EBA"/>
    <w:rsid w:val="001D0EFC"/>
    <w:rsid w:val="001E3074"/>
    <w:rsid w:val="001F572B"/>
    <w:rsid w:val="002015E7"/>
    <w:rsid w:val="002047E2"/>
    <w:rsid w:val="00207D79"/>
    <w:rsid w:val="00212B9C"/>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1869"/>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B59BA"/>
    <w:rsid w:val="003D0D44"/>
    <w:rsid w:val="003D12E4"/>
    <w:rsid w:val="003D3F6E"/>
    <w:rsid w:val="003D4D4A"/>
    <w:rsid w:val="003E35F5"/>
    <w:rsid w:val="003F0EC8"/>
    <w:rsid w:val="003F11B6"/>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55C40"/>
    <w:rsid w:val="00461E78"/>
    <w:rsid w:val="0047017E"/>
    <w:rsid w:val="00471A17"/>
    <w:rsid w:val="00474C5E"/>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79DE"/>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263F"/>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8BF"/>
    <w:rsid w:val="006A72FE"/>
    <w:rsid w:val="006B3E84"/>
    <w:rsid w:val="006B5C47"/>
    <w:rsid w:val="006B7535"/>
    <w:rsid w:val="006B7892"/>
    <w:rsid w:val="006C45D5"/>
    <w:rsid w:val="006E1AE0"/>
    <w:rsid w:val="00702A38"/>
    <w:rsid w:val="0070602C"/>
    <w:rsid w:val="007121A5"/>
    <w:rsid w:val="00717DBE"/>
    <w:rsid w:val="00720025"/>
    <w:rsid w:val="00727763"/>
    <w:rsid w:val="007278C5"/>
    <w:rsid w:val="00737469"/>
    <w:rsid w:val="00750400"/>
    <w:rsid w:val="00763B6D"/>
    <w:rsid w:val="007675A7"/>
    <w:rsid w:val="00776B13"/>
    <w:rsid w:val="00776D1C"/>
    <w:rsid w:val="00777A7A"/>
    <w:rsid w:val="00780733"/>
    <w:rsid w:val="00780B43"/>
    <w:rsid w:val="00790388"/>
    <w:rsid w:val="00794C7C"/>
    <w:rsid w:val="00796D0E"/>
    <w:rsid w:val="007A1867"/>
    <w:rsid w:val="007A7D79"/>
    <w:rsid w:val="007C4EE5"/>
    <w:rsid w:val="007D71AE"/>
    <w:rsid w:val="007E5206"/>
    <w:rsid w:val="007F0AFE"/>
    <w:rsid w:val="007F1A7F"/>
    <w:rsid w:val="007F28A2"/>
    <w:rsid w:val="007F3365"/>
    <w:rsid w:val="00804082"/>
    <w:rsid w:val="00805D72"/>
    <w:rsid w:val="00806780"/>
    <w:rsid w:val="00810296"/>
    <w:rsid w:val="00811C35"/>
    <w:rsid w:val="00815B8B"/>
    <w:rsid w:val="0082307C"/>
    <w:rsid w:val="00824C15"/>
    <w:rsid w:val="00826E97"/>
    <w:rsid w:val="008271B1"/>
    <w:rsid w:val="00833A9E"/>
    <w:rsid w:val="00837F88"/>
    <w:rsid w:val="008425C1"/>
    <w:rsid w:val="00843EB6"/>
    <w:rsid w:val="00844ABA"/>
    <w:rsid w:val="0084781C"/>
    <w:rsid w:val="0086679B"/>
    <w:rsid w:val="00870EF2"/>
    <w:rsid w:val="008717C5"/>
    <w:rsid w:val="0087273A"/>
    <w:rsid w:val="0088338B"/>
    <w:rsid w:val="0088496F"/>
    <w:rsid w:val="008923A8"/>
    <w:rsid w:val="008B56EA"/>
    <w:rsid w:val="008B77D8"/>
    <w:rsid w:val="008C1560"/>
    <w:rsid w:val="008C4CD4"/>
    <w:rsid w:val="008C4FAF"/>
    <w:rsid w:val="008C5359"/>
    <w:rsid w:val="008D7182"/>
    <w:rsid w:val="008E4486"/>
    <w:rsid w:val="008E68BC"/>
    <w:rsid w:val="008F2BEE"/>
    <w:rsid w:val="009053C8"/>
    <w:rsid w:val="00910413"/>
    <w:rsid w:val="0091325B"/>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A404D"/>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1AF7"/>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4FF9"/>
    <w:rsid w:val="00B86B5A"/>
    <w:rsid w:val="00B93B47"/>
    <w:rsid w:val="00BB230E"/>
    <w:rsid w:val="00BC00FF"/>
    <w:rsid w:val="00BD0ED2"/>
    <w:rsid w:val="00BE03CA"/>
    <w:rsid w:val="00BE0B5D"/>
    <w:rsid w:val="00BF2353"/>
    <w:rsid w:val="00BF25C2"/>
    <w:rsid w:val="00BF3913"/>
    <w:rsid w:val="00BF5AAE"/>
    <w:rsid w:val="00BF5AE7"/>
    <w:rsid w:val="00BF78FB"/>
    <w:rsid w:val="00C1038A"/>
    <w:rsid w:val="00C15FD6"/>
    <w:rsid w:val="00C17F24"/>
    <w:rsid w:val="00C21B44"/>
    <w:rsid w:val="00C2596B"/>
    <w:rsid w:val="00C319B3"/>
    <w:rsid w:val="00C3660A"/>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56A2"/>
    <w:rsid w:val="00E11728"/>
    <w:rsid w:val="00E24167"/>
    <w:rsid w:val="00E24878"/>
    <w:rsid w:val="00E26D2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635"/>
    <w:rsid w:val="00F80DA5"/>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94D1"/>
  <w15:docId w15:val="{1D4ECE38-D652-406E-BE83-5DEBCDC5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link w:val="CommentTextChar"/>
    <w:unhideWhenUsed/>
    <w:rsid w:val="00B93B47"/>
    <w:rPr>
      <w:sz w:val="20"/>
    </w:rPr>
  </w:style>
  <w:style w:type="character" w:customStyle="1" w:styleId="CommentTextChar">
    <w:name w:val="Comment Text Char"/>
    <w:basedOn w:val="DefaultParagraphFont"/>
    <w:link w:val="CommentText"/>
    <w:rsid w:val="00B9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25</cp:revision>
  <dcterms:created xsi:type="dcterms:W3CDTF">2012-06-21T22:59:00Z</dcterms:created>
  <dcterms:modified xsi:type="dcterms:W3CDTF">2022-07-28T21:47:00Z</dcterms:modified>
</cp:coreProperties>
</file>