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3F" w:rsidRDefault="0031123F" w:rsidP="0031123F">
      <w:pPr>
        <w:widowControl w:val="0"/>
        <w:autoSpaceDE w:val="0"/>
        <w:autoSpaceDN w:val="0"/>
        <w:adjustRightInd w:val="0"/>
      </w:pPr>
    </w:p>
    <w:p w:rsidR="0031123F" w:rsidRDefault="0031123F" w:rsidP="0031123F">
      <w:pPr>
        <w:widowControl w:val="0"/>
        <w:autoSpaceDE w:val="0"/>
        <w:autoSpaceDN w:val="0"/>
        <w:adjustRightInd w:val="0"/>
      </w:pPr>
      <w:r>
        <w:rPr>
          <w:b/>
          <w:bCs/>
        </w:rPr>
        <w:t>Section 811.719  Corporate Financial Test</w:t>
      </w:r>
      <w:r>
        <w:t xml:space="preserve"> </w:t>
      </w:r>
    </w:p>
    <w:p w:rsidR="0031123F" w:rsidRDefault="0031123F" w:rsidP="0031123F">
      <w:pPr>
        <w:widowControl w:val="0"/>
        <w:autoSpaceDE w:val="0"/>
        <w:autoSpaceDN w:val="0"/>
        <w:adjustRightInd w:val="0"/>
      </w:pPr>
    </w:p>
    <w:p w:rsidR="0031123F" w:rsidRDefault="0031123F" w:rsidP="0031123F">
      <w:pPr>
        <w:widowControl w:val="0"/>
        <w:autoSpaceDE w:val="0"/>
        <w:autoSpaceDN w:val="0"/>
        <w:adjustRightInd w:val="0"/>
      </w:pPr>
      <w:r>
        <w:t xml:space="preserve">An MSWLF owner or operator that satisfies the requirements of this Section may demonstrate financial assurance up to the amount specified in this Section as follows: </w:t>
      </w:r>
    </w:p>
    <w:p w:rsidR="00855772" w:rsidRDefault="00855772" w:rsidP="0031123F">
      <w:pPr>
        <w:widowControl w:val="0"/>
        <w:autoSpaceDE w:val="0"/>
        <w:autoSpaceDN w:val="0"/>
        <w:adjustRightInd w:val="0"/>
      </w:pPr>
    </w:p>
    <w:p w:rsidR="0031123F" w:rsidRDefault="0031123F" w:rsidP="0031123F">
      <w:pPr>
        <w:widowControl w:val="0"/>
        <w:autoSpaceDE w:val="0"/>
        <w:autoSpaceDN w:val="0"/>
        <w:adjustRightInd w:val="0"/>
        <w:ind w:left="1440" w:hanging="720"/>
      </w:pPr>
      <w:r>
        <w:t>a)</w:t>
      </w:r>
      <w:r>
        <w:tab/>
        <w:t xml:space="preserve">Financial </w:t>
      </w:r>
      <w:r w:rsidR="00586584">
        <w:t>Component</w:t>
      </w:r>
      <w:r>
        <w:t xml:space="preserve">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1)</w:t>
      </w:r>
      <w:r>
        <w:tab/>
        <w:t xml:space="preserve">The owner or operator must satisfy one of the following three conditions: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A)</w:t>
      </w:r>
      <w:r>
        <w:tab/>
        <w:t>A current rating for its senior unsubordinated debt of AAA, AA, A, or BBB as issued by Standard and Poor's or Aaa, Aa, A</w:t>
      </w:r>
      <w:r w:rsidR="00C84578">
        <w:t>,</w:t>
      </w:r>
      <w:r>
        <w:t xml:space="preserve"> or Baa as issued by Moody's;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B)</w:t>
      </w:r>
      <w:r>
        <w:tab/>
        <w:t xml:space="preserve">A ratio of less than 1.5 comparing total liabilities to net worth; or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C)</w:t>
      </w:r>
      <w:r>
        <w:tab/>
        <w:t xml:space="preserve">A ratio of greater than 0.10 comparing the sum of net income plus depreciation, depletion and amortization, minus $10 million, to total liabilities.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2)</w:t>
      </w:r>
      <w:r>
        <w:tab/>
        <w:t xml:space="preserve">The tangible net worth of the owner or operator must be greater than: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A)</w:t>
      </w:r>
      <w:r>
        <w:tab/>
        <w:t xml:space="preserve">The sum of the current closure, post-closure care, corrective action cost estimates and any other environmental obligations, including guarantees, covered by a financial test plus $10 million except as provided in subsection (a)(2)(B).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B)</w:t>
      </w:r>
      <w:r>
        <w:tab/>
        <w:t xml:space="preserve">$10 million in net worth plus the amount of any guarantees that have not been recognized as liabilities on the financial statements, provided all of the current closure, post-closure care, and corrective action costs and any other environmental obligations covered by a financial test are recognized as liabilities on the owner's or operator's audited financial statements, and subject to the approval of the Agency.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3)</w:t>
      </w:r>
      <w:r>
        <w:tab/>
        <w:t>The owner or operator must have assets located in the United States amounting to at least the sum of current closure, post-closure care, corrective action cost estimates and any other environmental obligations covered by a financial test</w:t>
      </w:r>
      <w:r w:rsidR="00C84578">
        <w:t>,</w:t>
      </w:r>
      <w:r>
        <w:t xml:space="preserve"> as described in subsection (c).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1440" w:hanging="720"/>
      </w:pPr>
      <w:r>
        <w:t>b)</w:t>
      </w:r>
      <w:r>
        <w:tab/>
        <w:t xml:space="preserve">Recordkeeping and </w:t>
      </w:r>
      <w:r w:rsidR="00586584">
        <w:t>Reporting Requirements</w:t>
      </w:r>
      <w:r>
        <w:t xml:space="preserve">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1)</w:t>
      </w:r>
      <w:r>
        <w:tab/>
        <w:t xml:space="preserve">The owner or operator must place the following items into the facility's operating record: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A)</w:t>
      </w:r>
      <w:r>
        <w:tab/>
        <w:t xml:space="preserve">A letter signed by the owner's or operator's chief financial officer </w:t>
      </w:r>
      <w:r>
        <w:lastRenderedPageBreak/>
        <w:t xml:space="preserve">that includes the following: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3600" w:hanging="720"/>
      </w:pPr>
      <w:r>
        <w:t>i)</w:t>
      </w:r>
      <w:r>
        <w:tab/>
        <w:t xml:space="preserve">All the current cost estimates covered by a financial test, including, but not limited to, cost estimates required for municipal solid waste management facilities </w:t>
      </w:r>
      <w:r w:rsidR="00D503F1">
        <w:t>pursuant to</w:t>
      </w:r>
      <w:r>
        <w:t xml:space="preserve"> this Part; cost estimates required for UIC facilities </w:t>
      </w:r>
      <w:r w:rsidR="00D503F1">
        <w:t>pursuant to</w:t>
      </w:r>
      <w:r>
        <w:t xml:space="preserve"> 35 Ill. Adm. Code 730, if applicable; cost estimates required for petroleum underground storage tank facilities </w:t>
      </w:r>
      <w:r w:rsidR="00D503F1">
        <w:t>pursuant to</w:t>
      </w:r>
      <w:r>
        <w:t xml:space="preserve"> 40 CFR 280, if applicable; cost estimates required for PCB storage facilities </w:t>
      </w:r>
      <w:r w:rsidR="00D503F1">
        <w:t>pursuant to</w:t>
      </w:r>
      <w:r>
        <w:t xml:space="preserve"> 40 CFR 761, if applicable; and cost estimates required for hazardous waste treatment, storage, and disposal facilities </w:t>
      </w:r>
      <w:r w:rsidR="00D503F1">
        <w:t>pursuant to</w:t>
      </w:r>
      <w:r>
        <w:t xml:space="preserve"> 35 Ill. Adm. Code 724 or 725, if applicable; and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3600" w:hanging="720"/>
      </w:pPr>
      <w:r>
        <w:t>ii)</w:t>
      </w:r>
      <w:r>
        <w:tab/>
        <w:t xml:space="preserve">Evidence demonstrating that the firm meets the conditions of subsection (a)(1)(A), (a)(1)(B), or (a)(1)(C) and </w:t>
      </w:r>
      <w:r w:rsidR="003714BC">
        <w:t>subsections</w:t>
      </w:r>
      <w:r>
        <w:t xml:space="preserve"> (a)(2) and (a)(3).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B)</w:t>
      </w:r>
      <w:r>
        <w:tab/>
        <w:t xml:space="preserve">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w:t>
      </w:r>
      <w:r w:rsidR="00D503F1">
        <w:t>must</w:t>
      </w:r>
      <w:r>
        <w:t xml:space="preserve"> evaluate qualified opinions on a case-by-case basis and allow use of the financial test in cases where the Agency deems that the matters </w:t>
      </w:r>
      <w:r w:rsidR="00C84578">
        <w:t>that</w:t>
      </w:r>
      <w:r>
        <w:t xml:space="preserve"> form the basis for the qualification are insufficient to warrant disallowance of the test.  If the Agency does not allow use of the test, the owner or operator </w:t>
      </w:r>
      <w:r w:rsidR="006B03EE">
        <w:t>must</w:t>
      </w:r>
      <w:r>
        <w:t xml:space="preserve"> provide alternative financial assurance that meets the requirements of this Section.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C)</w:t>
      </w:r>
      <w:r>
        <w:tab/>
        <w:t xml:space="preserve">If the chief financial officer's letter providing evidence of financial assurance includes financial data showing that the owner or operator satisfies subsection (a)(1)(B) or (a)(1)(C) that are different from data in the audited financial statements referred to in subsection (b)(1)(B) or any other audited financial statement or data filed with the federal Security Exchange Commission, then a special report from the owner's or operator's independent certified public accountant to the owner or operator is required.  The special report must be based upon an agreed upon procedures engagement in accordance with professional auditing standards and </w:t>
      </w:r>
      <w:r w:rsidR="00D503F1">
        <w:t>must</w:t>
      </w:r>
      <w:r>
        <w:t xml:space="preserve"> describe the procedures performed in comparing the data in the chief financial officer's letter derived from the independently </w:t>
      </w:r>
      <w:r>
        <w:lastRenderedPageBreak/>
        <w:t xml:space="preserve">audited, year-end financial statements for the latest fiscal year with the amounts in such financial statements, the findings of that comparison, and the reasons for any differences.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D)</w:t>
      </w:r>
      <w:r>
        <w:tab/>
        <w:t xml:space="preserve">If the chief financial officer's letter provides a demonstration that the firm has assured for environmental obligations, as provided in subsection (a)(2)(B), then the letter </w:t>
      </w:r>
      <w:r w:rsidR="00D503F1">
        <w:t>must</w:t>
      </w:r>
      <w:r>
        <w:t xml:space="preserve">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2)</w:t>
      </w:r>
      <w:r>
        <w:tab/>
        <w:t xml:space="preserve">An owner or operator </w:t>
      </w:r>
      <w:r w:rsidR="00D503F1">
        <w:t>must</w:t>
      </w:r>
      <w:r>
        <w:t xml:space="preserve"> place the items specified in subsection (b)(1) in the operating record and notify the Agency in writing that these items have been placed in the operating record before the initial receipt of waste, in the case of closure and post-closure care, or no later than 120 days after the corrective </w:t>
      </w:r>
      <w:r w:rsidR="005717DB">
        <w:t>action remedy has been selected</w:t>
      </w:r>
      <w:r>
        <w:t xml:space="preserve"> in accordance with the requirements of Section 811.324. </w:t>
      </w:r>
    </w:p>
    <w:p w:rsidR="00855772" w:rsidRDefault="00855772" w:rsidP="00E276F9">
      <w:pPr>
        <w:widowControl w:val="0"/>
        <w:autoSpaceDE w:val="0"/>
        <w:autoSpaceDN w:val="0"/>
        <w:adjustRightInd w:val="0"/>
      </w:pPr>
    </w:p>
    <w:p w:rsidR="0031123F" w:rsidRDefault="0031123F" w:rsidP="003714BC">
      <w:pPr>
        <w:widowControl w:val="0"/>
        <w:autoSpaceDE w:val="0"/>
        <w:autoSpaceDN w:val="0"/>
        <w:adjustRightInd w:val="0"/>
        <w:ind w:left="2160"/>
      </w:pPr>
      <w:r>
        <w:t>BOARD NOTE:  Corresponding 40 CFR 258.74(e)(2)(ii) provides that this requirement is effective "before the initial receipt of waste or before the effective date of the requirements of this Section (April 9, 1997 or October 9, 1997 for MSWLF units meeting the conditions of Sec. 258.1(f)(1)), whichever is later"</w:t>
      </w:r>
      <w:r w:rsidR="003714BC">
        <w:t>.</w:t>
      </w:r>
      <w:r>
        <w:t xml:space="preserve">  The Board has instead inserted the date on which these amendments are to be filed and become effective in Illinois.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3)</w:t>
      </w:r>
      <w:r>
        <w:tab/>
        <w:t xml:space="preserve">After the initial placement of items specified in subsection (b)(1) in the operating record, the owner or operator must annually update the information and place updated information in the operating record within 90 days following the close of the owner's or operator's fiscal year. The Agency </w:t>
      </w:r>
      <w:r w:rsidR="00D503F1">
        <w:t>must</w:t>
      </w:r>
      <w:r>
        <w:t xml:space="preserve"> provide up to an additional 45 days for an owner or operator who can demonstrate that 90 days is insufficient time to acquire audited financial statements.  The updated information must consist of all items specified in subsection (b)(1).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4)</w:t>
      </w:r>
      <w:r>
        <w:tab/>
        <w:t xml:space="preserve">The owner or operator is no longer required to submit the items specified in this subsection (b) or comply with the requirements of this Section when either of the following occurs: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t>A)</w:t>
      </w:r>
      <w:r>
        <w:tab/>
        <w:t>It substitutes alternative financial assurance</w:t>
      </w:r>
      <w:r w:rsidR="00C84578">
        <w:t>,</w:t>
      </w:r>
      <w:r>
        <w:t xml:space="preserve"> as specified in this Subpart G</w:t>
      </w:r>
      <w:r w:rsidR="00C84578">
        <w:t>,</w:t>
      </w:r>
      <w:r>
        <w:t xml:space="preserve"> that is not subject to these recordkeeping and reporting requirements; or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880" w:hanging="720"/>
      </w:pPr>
      <w:r>
        <w:lastRenderedPageBreak/>
        <w:t>B)</w:t>
      </w:r>
      <w:r>
        <w:tab/>
        <w:t xml:space="preserve">It is released from the requirements of this Subpart G in accordance with Sections 811.700 and 811.706.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5)</w:t>
      </w:r>
      <w:r>
        <w:tab/>
        <w:t xml:space="preserve">If the owner or operator no longer meets the requirements of subsection (a), the owner or operator </w:t>
      </w:r>
      <w:r w:rsidR="00D503F1">
        <w:t>must</w:t>
      </w:r>
      <w:r>
        <w:t xml:space="preserve"> obtain alternative financial assurance that meets the requirements of this Subpart G within 120 days following the close of the facility's fiscal year.  The owner or operator </w:t>
      </w:r>
      <w:r w:rsidR="00D503F1">
        <w:t>must</w:t>
      </w:r>
      <w:r>
        <w:t xml:space="preserve"> also place the required submissions for the alternative financial assurance in the facility operating record and notify the Agency that it no longer meets the criteria of the financial test and that it has obtained alternative financial assurance</w:t>
      </w:r>
      <w:r w:rsidR="007B200F">
        <w:t>.  The owner or operator must</w:t>
      </w:r>
      <w:r w:rsidR="00577F78">
        <w:t xml:space="preserve"> submit evidence of </w:t>
      </w:r>
      <w:r w:rsidR="007B200F">
        <w:t>the</w:t>
      </w:r>
      <w:r w:rsidR="00577F78">
        <w:t xml:space="preserve"> alternative financial assurance to the Agency</w:t>
      </w:r>
      <w:r>
        <w:t xml:space="preserve">.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2160" w:hanging="720"/>
      </w:pPr>
      <w:r>
        <w:t>6)</w:t>
      </w:r>
      <w:r>
        <w:tab/>
        <w:t xml:space="preserve">The Agency may require the owner or operator to provide reports of its financial condition in addition to or including current financial test documentation specified in subsection (b) at any time it has a reasonable belief that the owner or operator may no longer meet the requirements of subsection (a).  If the Agency finds that the owner or operator no longer meets the requirements of subsection (a), the owner or operator </w:t>
      </w:r>
      <w:r w:rsidR="00D503F1">
        <w:t>must</w:t>
      </w:r>
      <w:r>
        <w:t xml:space="preserve"> provide alternative financial assurance that meets the requirements of this Subpart G. </w:t>
      </w:r>
    </w:p>
    <w:p w:rsidR="00855772" w:rsidRDefault="00855772" w:rsidP="00E276F9">
      <w:pPr>
        <w:widowControl w:val="0"/>
        <w:autoSpaceDE w:val="0"/>
        <w:autoSpaceDN w:val="0"/>
        <w:adjustRightInd w:val="0"/>
      </w:pPr>
    </w:p>
    <w:p w:rsidR="0031123F" w:rsidRDefault="0031123F" w:rsidP="0031123F">
      <w:pPr>
        <w:widowControl w:val="0"/>
        <w:autoSpaceDE w:val="0"/>
        <w:autoSpaceDN w:val="0"/>
        <w:adjustRightInd w:val="0"/>
        <w:ind w:left="1440" w:hanging="720"/>
      </w:pPr>
      <w:r>
        <w:t>c)</w:t>
      </w:r>
      <w:r>
        <w:tab/>
        <w:t xml:space="preserve">Calculation of </w:t>
      </w:r>
      <w:r w:rsidR="00586584">
        <w:t>Costs</w:t>
      </w:r>
      <w:r>
        <w:t xml:space="preserve"> to </w:t>
      </w:r>
      <w:r w:rsidR="00EC4ACE">
        <w:t xml:space="preserve">Be </w:t>
      </w:r>
      <w:r w:rsidR="00586584">
        <w:t>Assured</w:t>
      </w:r>
      <w:r>
        <w:t xml:space="preserve">.  When calculating the current cost estimates for closure, post-closure care, corrective action, the sum of the combination of such costs to be covered, and any other environmental obligations assured by a financial test referred to in this Section, the owner or operator </w:t>
      </w:r>
      <w:r w:rsidR="00D503F1">
        <w:t>must</w:t>
      </w:r>
      <w:r>
        <w:t xml:space="preserve"> include cost estimates required for municipal solid waste management facilities </w:t>
      </w:r>
      <w:r w:rsidR="00D503F1">
        <w:t>pursuant to</w:t>
      </w:r>
      <w:r>
        <w:t xml:space="preserve"> this Part, as well as cost estimates required for the following environmental obligations, if it assures them through a financial test:  obligations associated with UIC facilities </w:t>
      </w:r>
      <w:r w:rsidR="00D503F1">
        <w:t>pursuant to</w:t>
      </w:r>
      <w:r>
        <w:t xml:space="preserve"> 35 Ill. Adm. Code 730; petroleum underground storage tank facilities </w:t>
      </w:r>
      <w:r w:rsidR="00D503F1">
        <w:t>pursuant to</w:t>
      </w:r>
      <w:r>
        <w:t xml:space="preserve"> 40 CFR 280; PCB storage facilities </w:t>
      </w:r>
      <w:r w:rsidR="00D503F1">
        <w:t>pursuant to</w:t>
      </w:r>
      <w:r>
        <w:t xml:space="preserve"> 40 CFR 761; and hazardous waste treatment, storage, and disposal facilities </w:t>
      </w:r>
      <w:r w:rsidR="00D503F1">
        <w:t>pursuant to</w:t>
      </w:r>
      <w:r>
        <w:t xml:space="preserve"> 35 Ill. Adm. Code 724 or 725. </w:t>
      </w:r>
    </w:p>
    <w:p w:rsidR="0031123F" w:rsidRDefault="0031123F" w:rsidP="00E276F9">
      <w:pPr>
        <w:widowControl w:val="0"/>
        <w:autoSpaceDE w:val="0"/>
        <w:autoSpaceDN w:val="0"/>
        <w:adjustRightInd w:val="0"/>
      </w:pPr>
      <w:bookmarkStart w:id="0" w:name="_GoBack"/>
      <w:bookmarkEnd w:id="0"/>
    </w:p>
    <w:p w:rsidR="00577F78" w:rsidRPr="00D55B37" w:rsidRDefault="003714BC">
      <w:pPr>
        <w:pStyle w:val="JCARSourceNote"/>
        <w:ind w:left="720"/>
      </w:pPr>
      <w:r>
        <w:t xml:space="preserve">(Source:  Amended at 42 Ill. Reg. </w:t>
      </w:r>
      <w:r w:rsidR="00EA02C1">
        <w:t>21330</w:t>
      </w:r>
      <w:r>
        <w:t xml:space="preserve">, effective </w:t>
      </w:r>
      <w:r w:rsidR="00586584">
        <w:t>November 19, 2018</w:t>
      </w:r>
      <w:r>
        <w:t>)</w:t>
      </w:r>
    </w:p>
    <w:sectPr w:rsidR="00577F78" w:rsidRPr="00D55B37" w:rsidSect="00311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123F"/>
    <w:rsid w:val="0001733A"/>
    <w:rsid w:val="001F3CC8"/>
    <w:rsid w:val="00200ABC"/>
    <w:rsid w:val="002A2A9A"/>
    <w:rsid w:val="0031123F"/>
    <w:rsid w:val="003714BC"/>
    <w:rsid w:val="00537C80"/>
    <w:rsid w:val="005717DB"/>
    <w:rsid w:val="00577F78"/>
    <w:rsid w:val="00586584"/>
    <w:rsid w:val="005C3366"/>
    <w:rsid w:val="005D317D"/>
    <w:rsid w:val="006B03EE"/>
    <w:rsid w:val="007B200F"/>
    <w:rsid w:val="00855772"/>
    <w:rsid w:val="009855EB"/>
    <w:rsid w:val="00A9041C"/>
    <w:rsid w:val="00AE143A"/>
    <w:rsid w:val="00B83807"/>
    <w:rsid w:val="00C84578"/>
    <w:rsid w:val="00CB0D91"/>
    <w:rsid w:val="00D503F1"/>
    <w:rsid w:val="00E276F9"/>
    <w:rsid w:val="00EA02C1"/>
    <w:rsid w:val="00EC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B60408-897C-4025-A21F-04C3DA47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2018-11-28T17:34:00Z</dcterms:modified>
</cp:coreProperties>
</file>