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456" w:rsidRDefault="00D42456" w:rsidP="00762D55">
      <w:pPr>
        <w:widowControl w:val="0"/>
        <w:autoSpaceDE w:val="0"/>
        <w:autoSpaceDN w:val="0"/>
        <w:adjustRightInd w:val="0"/>
        <w:rPr>
          <w:b/>
          <w:bCs/>
        </w:rPr>
      </w:pPr>
    </w:p>
    <w:p w:rsidR="00762D55" w:rsidRDefault="00762D55" w:rsidP="00762D5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742.APPENDIX C   Tier 2 Illustrations and Tables </w:t>
      </w:r>
    </w:p>
    <w:p w:rsidR="00762D55" w:rsidRDefault="00762D55" w:rsidP="00762D55">
      <w:pPr>
        <w:widowControl w:val="0"/>
        <w:autoSpaceDE w:val="0"/>
        <w:autoSpaceDN w:val="0"/>
        <w:adjustRightInd w:val="0"/>
      </w:pPr>
    </w:p>
    <w:p w:rsidR="00762D55" w:rsidRPr="0073145E" w:rsidRDefault="00762D55" w:rsidP="00762D55">
      <w:pPr>
        <w:rPr>
          <w:b/>
        </w:rPr>
      </w:pPr>
      <w:r w:rsidRPr="0073145E">
        <w:rPr>
          <w:b/>
        </w:rPr>
        <w:t>Section 742.TABLE F   Methods for Determining Physical Soil Parameters</w:t>
      </w:r>
      <w:bookmarkStart w:id="0" w:name="L_Soil_Parameters"/>
      <w:bookmarkEnd w:id="0"/>
    </w:p>
    <w:p w:rsidR="00762D55" w:rsidRDefault="00762D55" w:rsidP="00762D55">
      <w:pPr>
        <w:rPr>
          <w:rFonts w:ascii="CG Times (W1)" w:hAnsi="CG Times (W1)" w:cs="CG Times (W1)"/>
          <w:sz w:val="22"/>
          <w:szCs w:val="22"/>
        </w:rPr>
      </w:pPr>
    </w:p>
    <w:tbl>
      <w:tblPr>
        <w:tblW w:w="0" w:type="auto"/>
        <w:tblInd w:w="115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660"/>
        <w:gridCol w:w="2547"/>
        <w:gridCol w:w="4158"/>
      </w:tblGrid>
      <w:tr w:rsidR="00762D55" w:rsidTr="00762D55">
        <w:trPr>
          <w:trHeight w:val="423"/>
        </w:trPr>
        <w:tc>
          <w:tcPr>
            <w:tcW w:w="9365" w:type="dxa"/>
            <w:gridSpan w:val="3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762D55" w:rsidRDefault="00762D55" w:rsidP="00762D55">
            <w:pPr>
              <w:ind w:left="2340"/>
              <w:rPr>
                <w:rFonts w:ascii="CG Times (W1)" w:hAnsi="CG Times (W1)" w:cs="CG Times (W1)"/>
                <w:sz w:val="22"/>
                <w:szCs w:val="22"/>
              </w:rPr>
            </w:pPr>
            <w:r>
              <w:rPr>
                <w:rFonts w:ascii="CG Times (W1)" w:hAnsi="CG Times (W1)" w:cs="CG Times (W1)"/>
                <w:sz w:val="22"/>
                <w:szCs w:val="22"/>
              </w:rPr>
              <w:t xml:space="preserve">Methods for Determining Physical Soil Parameters </w:t>
            </w:r>
          </w:p>
        </w:tc>
      </w:tr>
      <w:tr w:rsidR="00762D55" w:rsidTr="00BB1A1D">
        <w:trPr>
          <w:trHeight w:val="309"/>
        </w:trPr>
        <w:tc>
          <w:tcPr>
            <w:tcW w:w="26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vAlign w:val="center"/>
          </w:tcPr>
          <w:p w:rsidR="00762D55" w:rsidRDefault="00762D55" w:rsidP="00762D55">
            <w:pPr>
              <w:rPr>
                <w:rFonts w:ascii="CG Times (W1)" w:hAnsi="CG Times (W1)" w:cs="CG Times (W1)"/>
                <w:sz w:val="22"/>
                <w:szCs w:val="22"/>
              </w:rPr>
            </w:pPr>
            <w:r>
              <w:rPr>
                <w:rFonts w:ascii="CG Times (W1)" w:hAnsi="CG Times (W1)" w:cs="CG Times (W1)"/>
                <w:sz w:val="22"/>
                <w:szCs w:val="22"/>
              </w:rPr>
              <w:t>Parameter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62D55" w:rsidRDefault="00762D55" w:rsidP="00762D55">
            <w:pPr>
              <w:rPr>
                <w:rFonts w:ascii="CG Times (W1)" w:hAnsi="CG Times (W1)" w:cs="CG Times (W1)"/>
                <w:sz w:val="22"/>
                <w:szCs w:val="22"/>
              </w:rPr>
            </w:pPr>
            <w:r>
              <w:rPr>
                <w:rFonts w:ascii="CG Times (W1)" w:hAnsi="CG Times (W1)" w:cs="CG Times (W1)"/>
                <w:sz w:val="22"/>
                <w:szCs w:val="22"/>
              </w:rPr>
              <w:t>Sampling Location</w:t>
            </w:r>
            <w:r>
              <w:rPr>
                <w:rFonts w:ascii="CG Times (W1)" w:hAnsi="CG Times (W1)" w:cs="CG Times (W1)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762D55" w:rsidRDefault="00762D55" w:rsidP="00762D55">
            <w:pPr>
              <w:rPr>
                <w:rFonts w:ascii="CG Times (W1)" w:hAnsi="CG Times (W1)" w:cs="CG Times (W1)"/>
                <w:sz w:val="22"/>
                <w:szCs w:val="22"/>
              </w:rPr>
            </w:pPr>
            <w:r>
              <w:rPr>
                <w:rFonts w:ascii="CG Times (W1)" w:hAnsi="CG Times (W1)" w:cs="CG Times (W1)"/>
                <w:sz w:val="22"/>
                <w:szCs w:val="22"/>
              </w:rPr>
              <w:t>Method</w:t>
            </w:r>
          </w:p>
        </w:tc>
      </w:tr>
      <w:tr w:rsidR="00762D55" w:rsidTr="00BB1A1D">
        <w:trPr>
          <w:trHeight w:val="516"/>
        </w:trPr>
        <w:tc>
          <w:tcPr>
            <w:tcW w:w="2660" w:type="dxa"/>
            <w:vMerge w:val="restart"/>
            <w:tcBorders>
              <w:top w:val="single" w:sz="6" w:space="0" w:color="auto"/>
              <w:left w:val="double" w:sz="6" w:space="0" w:color="auto"/>
            </w:tcBorders>
            <w:vAlign w:val="center"/>
          </w:tcPr>
          <w:p w:rsidR="00762D55" w:rsidRPr="00FC19EB" w:rsidRDefault="00762D55" w:rsidP="00762D55">
            <w:pPr>
              <w:rPr>
                <w:rFonts w:ascii="CG Times (W1)" w:hAnsi="CG Times (W1)" w:cs="CG Times (W1)"/>
                <w:position w:val="-6"/>
                <w:sz w:val="22"/>
                <w:szCs w:val="22"/>
              </w:rPr>
            </w:pPr>
            <w:r w:rsidRPr="00FC19EB">
              <w:rPr>
                <w:rFonts w:ascii="CG Times (W1)" w:hAnsi="CG Times (W1)" w:cs="CG Times (W1)"/>
                <w:position w:val="-6"/>
                <w:sz w:val="22"/>
                <w:szCs w:val="22"/>
              </w:rPr>
              <w:sym w:font="Symbol" w:char="F072"/>
            </w:r>
            <w:r w:rsidRPr="00FC19EB">
              <w:rPr>
                <w:rFonts w:ascii="CG Times (W1)" w:hAnsi="CG Times (W1)" w:cs="CG Times (W1)"/>
                <w:position w:val="-6"/>
                <w:sz w:val="22"/>
                <w:szCs w:val="22"/>
                <w:vertAlign w:val="subscript"/>
              </w:rPr>
              <w:t>b</w:t>
            </w:r>
            <w:r w:rsidRPr="00FC19EB">
              <w:rPr>
                <w:rFonts w:ascii="CG Times (W1)" w:hAnsi="CG Times (W1)" w:cs="CG Times (W1)"/>
                <w:position w:val="-6"/>
                <w:sz w:val="22"/>
                <w:szCs w:val="22"/>
              </w:rPr>
              <w:t xml:space="preserve"> (soil bulk density)</w:t>
            </w:r>
          </w:p>
        </w:tc>
        <w:tc>
          <w:tcPr>
            <w:tcW w:w="2547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62D55" w:rsidRPr="00FC19EB" w:rsidRDefault="00762D55" w:rsidP="00762D55">
            <w:pPr>
              <w:rPr>
                <w:rFonts w:ascii="CG Times (W1)" w:hAnsi="CG Times (W1)" w:cs="CG Times (W1)"/>
                <w:position w:val="-6"/>
                <w:sz w:val="22"/>
                <w:szCs w:val="22"/>
              </w:rPr>
            </w:pPr>
            <w:r w:rsidRPr="00FC19EB">
              <w:rPr>
                <w:rFonts w:ascii="CG Times (W1)" w:hAnsi="CG Times (W1)" w:cs="CG Times (W1)"/>
                <w:position w:val="-6"/>
                <w:sz w:val="22"/>
                <w:szCs w:val="22"/>
              </w:rPr>
              <w:t>Surface</w:t>
            </w:r>
          </w:p>
        </w:tc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762D55" w:rsidRDefault="00762D55" w:rsidP="00762D55">
            <w:pPr>
              <w:rPr>
                <w:rFonts w:ascii="CG Times (W1)" w:hAnsi="CG Times (W1)" w:cs="CG Times (W1)"/>
                <w:sz w:val="22"/>
                <w:szCs w:val="22"/>
              </w:rPr>
            </w:pPr>
            <w:r>
              <w:rPr>
                <w:rFonts w:ascii="CG Times (W1)" w:hAnsi="CG Times (W1)" w:cs="CG Times (W1)"/>
                <w:sz w:val="22"/>
                <w:szCs w:val="22"/>
              </w:rPr>
              <w:t>ASTM-D 1556-90</w:t>
            </w:r>
          </w:p>
          <w:p w:rsidR="00762D55" w:rsidRDefault="00762D55" w:rsidP="00762D55">
            <w:pPr>
              <w:rPr>
                <w:rFonts w:ascii="CG Times (W1)" w:hAnsi="CG Times (W1)" w:cs="CG Times (W1)"/>
                <w:sz w:val="22"/>
                <w:szCs w:val="22"/>
              </w:rPr>
            </w:pPr>
            <w:r>
              <w:rPr>
                <w:rFonts w:ascii="CG Times (W1)" w:hAnsi="CG Times (W1)" w:cs="CG Times (W1)"/>
                <w:sz w:val="22"/>
                <w:szCs w:val="22"/>
              </w:rPr>
              <w:t>Sand Cone Method</w:t>
            </w:r>
            <w:r>
              <w:rPr>
                <w:rFonts w:ascii="CG Times (W1)" w:hAnsi="CG Times (W1)" w:cs="CG Times (W1)"/>
                <w:sz w:val="22"/>
                <w:szCs w:val="22"/>
                <w:vertAlign w:val="superscript"/>
              </w:rPr>
              <w:t>b</w:t>
            </w:r>
          </w:p>
        </w:tc>
      </w:tr>
      <w:tr w:rsidR="00762D55" w:rsidTr="00BB1A1D">
        <w:trPr>
          <w:trHeight w:val="450"/>
        </w:trPr>
        <w:tc>
          <w:tcPr>
            <w:tcW w:w="2660" w:type="dxa"/>
            <w:vMerge/>
            <w:tcBorders>
              <w:left w:val="double" w:sz="6" w:space="0" w:color="auto"/>
            </w:tcBorders>
            <w:vAlign w:val="center"/>
          </w:tcPr>
          <w:p w:rsidR="00762D55" w:rsidRDefault="00762D55" w:rsidP="00762D55">
            <w:pPr>
              <w:rPr>
                <w:rFonts w:ascii="CG Times (W1)" w:hAnsi="CG Times (W1)" w:cs="CG Times (W1)"/>
                <w:sz w:val="22"/>
                <w:szCs w:val="22"/>
              </w:rPr>
            </w:pPr>
          </w:p>
        </w:tc>
        <w:tc>
          <w:tcPr>
            <w:tcW w:w="2547" w:type="dxa"/>
            <w:vMerge/>
            <w:tcBorders>
              <w:left w:val="single" w:sz="6" w:space="0" w:color="auto"/>
            </w:tcBorders>
            <w:vAlign w:val="center"/>
          </w:tcPr>
          <w:p w:rsidR="00762D55" w:rsidRDefault="00762D55" w:rsidP="00762D55">
            <w:pPr>
              <w:rPr>
                <w:rFonts w:ascii="CG Times (W1)" w:hAnsi="CG Times (W1)" w:cs="CG Times (W1)"/>
                <w:sz w:val="22"/>
                <w:szCs w:val="22"/>
              </w:rPr>
            </w:pPr>
          </w:p>
        </w:tc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762D55" w:rsidRDefault="00762D55" w:rsidP="00762D55">
            <w:pPr>
              <w:rPr>
                <w:rFonts w:ascii="CG Times (W1)" w:hAnsi="CG Times (W1)" w:cs="CG Times (W1)"/>
                <w:sz w:val="22"/>
                <w:szCs w:val="22"/>
              </w:rPr>
            </w:pPr>
            <w:r>
              <w:rPr>
                <w:rFonts w:ascii="CG Times (W1)" w:hAnsi="CG Times (W1)" w:cs="CG Times (W1)"/>
                <w:sz w:val="22"/>
                <w:szCs w:val="22"/>
              </w:rPr>
              <w:t>ASTM-D 2167-94</w:t>
            </w:r>
          </w:p>
          <w:p w:rsidR="00762D55" w:rsidRDefault="00762D55" w:rsidP="00762D55">
            <w:pPr>
              <w:rPr>
                <w:rFonts w:ascii="CG Times (W1)" w:hAnsi="CG Times (W1)" w:cs="CG Times (W1)"/>
                <w:sz w:val="22"/>
                <w:szCs w:val="22"/>
              </w:rPr>
            </w:pPr>
            <w:r>
              <w:rPr>
                <w:rFonts w:ascii="CG Times (W1)" w:hAnsi="CG Times (W1)" w:cs="CG Times (W1)"/>
                <w:sz w:val="22"/>
                <w:szCs w:val="22"/>
              </w:rPr>
              <w:t>Rubber Balloon Method</w:t>
            </w:r>
            <w:r>
              <w:rPr>
                <w:rFonts w:ascii="CG Times (W1)" w:hAnsi="CG Times (W1)" w:cs="CG Times (W1)"/>
                <w:sz w:val="22"/>
                <w:szCs w:val="22"/>
                <w:vertAlign w:val="superscript"/>
              </w:rPr>
              <w:t>b</w:t>
            </w:r>
          </w:p>
        </w:tc>
      </w:tr>
      <w:tr w:rsidR="00762D55" w:rsidTr="00BB1A1D">
        <w:trPr>
          <w:trHeight w:val="450"/>
        </w:trPr>
        <w:tc>
          <w:tcPr>
            <w:tcW w:w="2660" w:type="dxa"/>
            <w:vMerge/>
            <w:tcBorders>
              <w:left w:val="double" w:sz="6" w:space="0" w:color="auto"/>
            </w:tcBorders>
            <w:vAlign w:val="center"/>
          </w:tcPr>
          <w:p w:rsidR="00762D55" w:rsidRDefault="00762D55" w:rsidP="00762D55">
            <w:pPr>
              <w:rPr>
                <w:rFonts w:ascii="CG Times (W1)" w:hAnsi="CG Times (W1)" w:cs="CG Times (W1)"/>
                <w:sz w:val="22"/>
                <w:szCs w:val="22"/>
              </w:rPr>
            </w:pPr>
          </w:p>
        </w:tc>
        <w:tc>
          <w:tcPr>
            <w:tcW w:w="2547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762D55" w:rsidRDefault="00762D55" w:rsidP="00762D55">
            <w:pPr>
              <w:rPr>
                <w:rFonts w:ascii="CG Times (W1)" w:hAnsi="CG Times (W1)" w:cs="CG Times (W1)"/>
                <w:sz w:val="22"/>
                <w:szCs w:val="22"/>
              </w:rPr>
            </w:pPr>
          </w:p>
        </w:tc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762D55" w:rsidRDefault="00762D55" w:rsidP="00762D55">
            <w:pPr>
              <w:rPr>
                <w:rFonts w:ascii="CG Times (W1)" w:hAnsi="CG Times (W1)" w:cs="CG Times (W1)"/>
                <w:sz w:val="22"/>
                <w:szCs w:val="22"/>
              </w:rPr>
            </w:pPr>
            <w:r>
              <w:rPr>
                <w:rFonts w:ascii="CG Times (W1)" w:hAnsi="CG Times (W1)" w:cs="CG Times (W1)"/>
                <w:sz w:val="22"/>
                <w:szCs w:val="22"/>
              </w:rPr>
              <w:t>ASTM-D 2922-91</w:t>
            </w:r>
          </w:p>
          <w:p w:rsidR="00762D55" w:rsidRDefault="00762D55" w:rsidP="00762D55">
            <w:pPr>
              <w:rPr>
                <w:rFonts w:ascii="CG Times (W1)" w:hAnsi="CG Times (W1)" w:cs="CG Times (W1)"/>
                <w:sz w:val="22"/>
                <w:szCs w:val="22"/>
              </w:rPr>
            </w:pPr>
            <w:r>
              <w:rPr>
                <w:rFonts w:ascii="CG Times (W1)" w:hAnsi="CG Times (W1)" w:cs="CG Times (W1)"/>
                <w:sz w:val="22"/>
                <w:szCs w:val="22"/>
              </w:rPr>
              <w:t>Nuclear Method</w:t>
            </w:r>
            <w:r>
              <w:rPr>
                <w:rFonts w:ascii="CG Times (W1)" w:hAnsi="CG Times (W1)" w:cs="CG Times (W1)"/>
                <w:sz w:val="22"/>
                <w:szCs w:val="22"/>
                <w:vertAlign w:val="superscript"/>
              </w:rPr>
              <w:t>b</w:t>
            </w:r>
          </w:p>
        </w:tc>
      </w:tr>
      <w:tr w:rsidR="00762D55" w:rsidTr="00BB1A1D">
        <w:trPr>
          <w:trHeight w:val="402"/>
        </w:trPr>
        <w:tc>
          <w:tcPr>
            <w:tcW w:w="2660" w:type="dxa"/>
            <w:vMerge/>
            <w:tcBorders>
              <w:left w:val="double" w:sz="6" w:space="0" w:color="auto"/>
              <w:bottom w:val="single" w:sz="6" w:space="0" w:color="auto"/>
            </w:tcBorders>
            <w:vAlign w:val="center"/>
          </w:tcPr>
          <w:p w:rsidR="00762D55" w:rsidRDefault="00762D55" w:rsidP="00762D55">
            <w:pPr>
              <w:rPr>
                <w:rFonts w:ascii="CG Times (W1)" w:hAnsi="CG Times (W1)" w:cs="CG Times (W1)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62D55" w:rsidRDefault="00762D55" w:rsidP="00762D55">
            <w:pPr>
              <w:rPr>
                <w:rFonts w:ascii="CG Times (W1)" w:hAnsi="CG Times (W1)" w:cs="CG Times (W1)"/>
                <w:sz w:val="22"/>
                <w:szCs w:val="22"/>
              </w:rPr>
            </w:pPr>
            <w:r>
              <w:rPr>
                <w:rFonts w:ascii="CG Times (W1)" w:hAnsi="CG Times (W1)" w:cs="CG Times (W1)"/>
                <w:sz w:val="22"/>
                <w:szCs w:val="22"/>
              </w:rPr>
              <w:t>Subsurface</w:t>
            </w:r>
          </w:p>
        </w:tc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762D55" w:rsidRDefault="00762D55" w:rsidP="00762D55">
            <w:pPr>
              <w:rPr>
                <w:rFonts w:ascii="CG Times (W1)" w:hAnsi="CG Times (W1)" w:cs="CG Times (W1)"/>
                <w:sz w:val="22"/>
                <w:szCs w:val="22"/>
              </w:rPr>
            </w:pPr>
            <w:r>
              <w:rPr>
                <w:rFonts w:ascii="CG Times (W1)" w:hAnsi="CG Times (W1)" w:cs="CG Times (W1)"/>
                <w:sz w:val="22"/>
                <w:szCs w:val="22"/>
              </w:rPr>
              <w:t>ASTM-D 2937-94</w:t>
            </w:r>
          </w:p>
          <w:p w:rsidR="00762D55" w:rsidRDefault="00762D55" w:rsidP="00762D55">
            <w:pPr>
              <w:rPr>
                <w:rFonts w:ascii="CG Times (W1)" w:hAnsi="CG Times (W1)" w:cs="CG Times (W1)"/>
                <w:sz w:val="22"/>
                <w:szCs w:val="22"/>
                <w:vertAlign w:val="subscript"/>
              </w:rPr>
            </w:pPr>
            <w:r>
              <w:rPr>
                <w:rFonts w:ascii="CG Times (W1)" w:hAnsi="CG Times (W1)" w:cs="CG Times (W1)"/>
                <w:sz w:val="22"/>
                <w:szCs w:val="22"/>
              </w:rPr>
              <w:t>Drive Cylinder Method</w:t>
            </w:r>
            <w:r>
              <w:rPr>
                <w:rFonts w:ascii="CG Times (W1)" w:hAnsi="CG Times (W1)" w:cs="CG Times (W1)"/>
                <w:sz w:val="22"/>
                <w:szCs w:val="22"/>
                <w:vertAlign w:val="superscript"/>
              </w:rPr>
              <w:t>b</w:t>
            </w:r>
          </w:p>
        </w:tc>
      </w:tr>
      <w:tr w:rsidR="00762D55" w:rsidTr="00BB1A1D">
        <w:trPr>
          <w:trHeight w:val="402"/>
        </w:trPr>
        <w:tc>
          <w:tcPr>
            <w:tcW w:w="26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vAlign w:val="center"/>
          </w:tcPr>
          <w:p w:rsidR="00762D55" w:rsidRDefault="00762D55" w:rsidP="00762D55">
            <w:pPr>
              <w:rPr>
                <w:rFonts w:ascii="CG Times (W1)" w:hAnsi="CG Times (W1)" w:cs="CG Times (W1)"/>
                <w:sz w:val="22"/>
                <w:szCs w:val="22"/>
              </w:rPr>
            </w:pPr>
            <w:r>
              <w:rPr>
                <w:rFonts w:ascii="CG Times (W1)" w:hAnsi="CG Times (W1)" w:cs="CG Times (W1)"/>
                <w:sz w:val="22"/>
                <w:szCs w:val="22"/>
              </w:rPr>
              <w:sym w:font="Symbol" w:char="F072"/>
            </w:r>
            <w:r>
              <w:rPr>
                <w:rFonts w:ascii="CG Times (W1)" w:hAnsi="CG Times (W1)" w:cs="CG Times (W1)"/>
                <w:sz w:val="22"/>
                <w:szCs w:val="22"/>
                <w:vertAlign w:val="subscript"/>
              </w:rPr>
              <w:t xml:space="preserve">s </w:t>
            </w:r>
            <w:r>
              <w:rPr>
                <w:rFonts w:ascii="CG Times (W1)" w:hAnsi="CG Times (W1)" w:cs="CG Times (W1)"/>
                <w:sz w:val="22"/>
                <w:szCs w:val="22"/>
              </w:rPr>
              <w:t>(soil particle density)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62D55" w:rsidRDefault="00762D55" w:rsidP="00762D55">
            <w:pPr>
              <w:rPr>
                <w:rFonts w:ascii="CG Times (W1)" w:hAnsi="CG Times (W1)" w:cs="CG Times (W1)"/>
                <w:sz w:val="22"/>
                <w:szCs w:val="22"/>
              </w:rPr>
            </w:pPr>
            <w:r>
              <w:rPr>
                <w:rFonts w:ascii="CG Times (W1)" w:hAnsi="CG Times (W1)" w:cs="CG Times (W1)"/>
                <w:sz w:val="22"/>
                <w:szCs w:val="22"/>
              </w:rPr>
              <w:t>Surface or Subsurface</w:t>
            </w:r>
          </w:p>
        </w:tc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762D55" w:rsidRDefault="00762D55" w:rsidP="00762D55">
            <w:pPr>
              <w:rPr>
                <w:rFonts w:ascii="CG Times (W1)" w:hAnsi="CG Times (W1)" w:cs="CG Times (W1)"/>
                <w:sz w:val="22"/>
                <w:szCs w:val="22"/>
              </w:rPr>
            </w:pPr>
            <w:r>
              <w:rPr>
                <w:rFonts w:ascii="CG Times (W1)" w:hAnsi="CG Times (W1)" w:cs="CG Times (W1)"/>
                <w:sz w:val="22"/>
                <w:szCs w:val="22"/>
              </w:rPr>
              <w:t>ASTM-D 854-92</w:t>
            </w:r>
          </w:p>
          <w:p w:rsidR="00762D55" w:rsidRDefault="00762D55" w:rsidP="00762D55">
            <w:pPr>
              <w:rPr>
                <w:rFonts w:ascii="CG Times (W1)" w:hAnsi="CG Times (W1)" w:cs="CG Times (W1)"/>
                <w:sz w:val="22"/>
                <w:szCs w:val="22"/>
              </w:rPr>
            </w:pPr>
            <w:r>
              <w:rPr>
                <w:rFonts w:ascii="CG Times (W1)" w:hAnsi="CG Times (W1)" w:cs="CG Times (W1)"/>
                <w:sz w:val="22"/>
                <w:szCs w:val="22"/>
              </w:rPr>
              <w:t>Specific Gravity of Soil</w:t>
            </w:r>
            <w:r>
              <w:rPr>
                <w:rFonts w:ascii="CG Times (W1)" w:hAnsi="CG Times (W1)" w:cs="CG Times (W1)"/>
                <w:sz w:val="22"/>
                <w:szCs w:val="22"/>
                <w:vertAlign w:val="superscript"/>
              </w:rPr>
              <w:t>b</w:t>
            </w:r>
          </w:p>
        </w:tc>
      </w:tr>
      <w:tr w:rsidR="00762D55" w:rsidTr="00BB1A1D">
        <w:trPr>
          <w:trHeight w:val="402"/>
        </w:trPr>
        <w:tc>
          <w:tcPr>
            <w:tcW w:w="2660" w:type="dxa"/>
            <w:vMerge w:val="restart"/>
            <w:tcBorders>
              <w:top w:val="single" w:sz="6" w:space="0" w:color="auto"/>
              <w:left w:val="double" w:sz="6" w:space="0" w:color="auto"/>
            </w:tcBorders>
            <w:vAlign w:val="center"/>
          </w:tcPr>
          <w:p w:rsidR="00762D55" w:rsidRDefault="00762D55" w:rsidP="00762D55">
            <w:pPr>
              <w:rPr>
                <w:rFonts w:ascii="CG Times (W1)" w:hAnsi="CG Times (W1)" w:cs="CG Times (W1)"/>
                <w:sz w:val="22"/>
                <w:szCs w:val="22"/>
              </w:rPr>
            </w:pPr>
            <w:r>
              <w:rPr>
                <w:rFonts w:ascii="CG Times (W1)" w:hAnsi="CG Times (W1)" w:cs="CG Times (W1)"/>
                <w:sz w:val="22"/>
                <w:szCs w:val="22"/>
              </w:rPr>
              <w:t>w (moisture content)</w:t>
            </w:r>
          </w:p>
        </w:tc>
        <w:tc>
          <w:tcPr>
            <w:tcW w:w="2547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62D55" w:rsidRDefault="00762D55" w:rsidP="00762D55">
            <w:pPr>
              <w:rPr>
                <w:rFonts w:ascii="CG Times (W1)" w:hAnsi="CG Times (W1)" w:cs="CG Times (W1)"/>
                <w:sz w:val="22"/>
                <w:szCs w:val="22"/>
              </w:rPr>
            </w:pPr>
            <w:r>
              <w:rPr>
                <w:rFonts w:ascii="CG Times (W1)" w:hAnsi="CG Times (W1)" w:cs="CG Times (W1)"/>
                <w:sz w:val="22"/>
                <w:szCs w:val="22"/>
              </w:rPr>
              <w:t>Surface or Subsurface</w:t>
            </w:r>
          </w:p>
        </w:tc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762D55" w:rsidRDefault="00762D55" w:rsidP="00762D55">
            <w:pPr>
              <w:rPr>
                <w:rFonts w:ascii="CG Times (W1)" w:hAnsi="CG Times (W1)" w:cs="CG Times (W1)"/>
                <w:sz w:val="22"/>
                <w:szCs w:val="22"/>
              </w:rPr>
            </w:pPr>
            <w:r>
              <w:rPr>
                <w:rFonts w:ascii="CG Times (W1)" w:hAnsi="CG Times (W1)" w:cs="CG Times (W1)"/>
                <w:sz w:val="22"/>
                <w:szCs w:val="22"/>
              </w:rPr>
              <w:t>ASTM-D 4959-89 (Reapproved 1994)</w:t>
            </w:r>
          </w:p>
          <w:p w:rsidR="00762D55" w:rsidRDefault="00762D55" w:rsidP="00762D55">
            <w:pPr>
              <w:rPr>
                <w:rFonts w:ascii="CG Times (W1)" w:hAnsi="CG Times (W1)" w:cs="CG Times (W1)"/>
                <w:sz w:val="22"/>
                <w:szCs w:val="22"/>
              </w:rPr>
            </w:pPr>
            <w:r>
              <w:rPr>
                <w:rFonts w:ascii="CG Times (W1)" w:hAnsi="CG Times (W1)" w:cs="CG Times (W1)"/>
                <w:sz w:val="22"/>
                <w:szCs w:val="22"/>
              </w:rPr>
              <w:t>Standard</w:t>
            </w:r>
            <w:r>
              <w:rPr>
                <w:rFonts w:ascii="CG Times (W1)" w:hAnsi="CG Times (W1)" w:cs="CG Times (W1)"/>
                <w:sz w:val="22"/>
                <w:szCs w:val="22"/>
                <w:vertAlign w:val="superscript"/>
              </w:rPr>
              <w:t>b</w:t>
            </w:r>
          </w:p>
        </w:tc>
      </w:tr>
      <w:tr w:rsidR="00762D55" w:rsidTr="00BB1A1D">
        <w:trPr>
          <w:trHeight w:val="402"/>
        </w:trPr>
        <w:tc>
          <w:tcPr>
            <w:tcW w:w="2660" w:type="dxa"/>
            <w:vMerge/>
            <w:tcBorders>
              <w:left w:val="double" w:sz="6" w:space="0" w:color="auto"/>
            </w:tcBorders>
            <w:vAlign w:val="center"/>
          </w:tcPr>
          <w:p w:rsidR="00762D55" w:rsidRDefault="00762D55" w:rsidP="00762D55">
            <w:pPr>
              <w:rPr>
                <w:rFonts w:ascii="CG Times (W1)" w:hAnsi="CG Times (W1)" w:cs="CG Times (W1)"/>
                <w:sz w:val="22"/>
                <w:szCs w:val="22"/>
              </w:rPr>
            </w:pPr>
          </w:p>
        </w:tc>
        <w:tc>
          <w:tcPr>
            <w:tcW w:w="2547" w:type="dxa"/>
            <w:vMerge/>
            <w:tcBorders>
              <w:left w:val="single" w:sz="6" w:space="0" w:color="auto"/>
            </w:tcBorders>
            <w:vAlign w:val="center"/>
          </w:tcPr>
          <w:p w:rsidR="00762D55" w:rsidRDefault="00762D55" w:rsidP="00762D55">
            <w:pPr>
              <w:rPr>
                <w:rFonts w:ascii="CG Times (W1)" w:hAnsi="CG Times (W1)" w:cs="CG Times (W1)"/>
                <w:sz w:val="22"/>
                <w:szCs w:val="22"/>
              </w:rPr>
            </w:pPr>
          </w:p>
        </w:tc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762D55" w:rsidRDefault="00762D55" w:rsidP="00762D55">
            <w:pPr>
              <w:rPr>
                <w:rFonts w:ascii="CG Times (W1)" w:hAnsi="CG Times (W1)" w:cs="CG Times (W1)"/>
                <w:sz w:val="22"/>
                <w:szCs w:val="22"/>
              </w:rPr>
            </w:pPr>
            <w:r>
              <w:rPr>
                <w:rFonts w:ascii="CG Times (W1)" w:hAnsi="CG Times (W1)" w:cs="CG Times (W1)"/>
                <w:sz w:val="22"/>
                <w:szCs w:val="22"/>
              </w:rPr>
              <w:t xml:space="preserve">ASTM-D D 4643-93 </w:t>
            </w:r>
          </w:p>
          <w:p w:rsidR="00762D55" w:rsidRDefault="00762D55" w:rsidP="00762D55">
            <w:pPr>
              <w:rPr>
                <w:rFonts w:ascii="CG Times (W1)" w:hAnsi="CG Times (W1)" w:cs="CG Times (W1)"/>
                <w:sz w:val="22"/>
                <w:szCs w:val="22"/>
              </w:rPr>
            </w:pPr>
            <w:r>
              <w:rPr>
                <w:rFonts w:ascii="CG Times (W1)" w:hAnsi="CG Times (W1)" w:cs="CG Times (W1)"/>
                <w:sz w:val="22"/>
                <w:szCs w:val="22"/>
              </w:rPr>
              <w:t>Microwave Oven</w:t>
            </w:r>
            <w:r>
              <w:rPr>
                <w:rFonts w:ascii="CG Times (W1)" w:hAnsi="CG Times (W1)" w:cs="CG Times (W1)"/>
                <w:sz w:val="22"/>
                <w:szCs w:val="22"/>
                <w:vertAlign w:val="superscript"/>
              </w:rPr>
              <w:t>b</w:t>
            </w:r>
          </w:p>
        </w:tc>
      </w:tr>
      <w:tr w:rsidR="00762D55" w:rsidTr="00BB1A1D">
        <w:trPr>
          <w:trHeight w:val="402"/>
        </w:trPr>
        <w:tc>
          <w:tcPr>
            <w:tcW w:w="2660" w:type="dxa"/>
            <w:vMerge/>
            <w:tcBorders>
              <w:left w:val="double" w:sz="6" w:space="0" w:color="auto"/>
            </w:tcBorders>
            <w:vAlign w:val="center"/>
          </w:tcPr>
          <w:p w:rsidR="00762D55" w:rsidRDefault="00762D55" w:rsidP="00762D55">
            <w:pPr>
              <w:rPr>
                <w:rFonts w:ascii="CG Times (W1)" w:hAnsi="CG Times (W1)" w:cs="CG Times (W1)"/>
                <w:sz w:val="22"/>
                <w:szCs w:val="22"/>
              </w:rPr>
            </w:pPr>
          </w:p>
        </w:tc>
        <w:tc>
          <w:tcPr>
            <w:tcW w:w="2547" w:type="dxa"/>
            <w:vMerge/>
            <w:tcBorders>
              <w:left w:val="single" w:sz="6" w:space="0" w:color="auto"/>
            </w:tcBorders>
            <w:vAlign w:val="center"/>
          </w:tcPr>
          <w:p w:rsidR="00762D55" w:rsidRDefault="00762D55" w:rsidP="00762D55">
            <w:pPr>
              <w:rPr>
                <w:rFonts w:ascii="CG Times (W1)" w:hAnsi="CG Times (W1)" w:cs="CG Times (W1)"/>
                <w:sz w:val="22"/>
                <w:szCs w:val="22"/>
              </w:rPr>
            </w:pPr>
          </w:p>
        </w:tc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762D55" w:rsidRDefault="00762D55" w:rsidP="00762D55">
            <w:pPr>
              <w:rPr>
                <w:rFonts w:ascii="CG Times (W1)" w:hAnsi="CG Times (W1)" w:cs="CG Times (W1)"/>
                <w:sz w:val="22"/>
                <w:szCs w:val="22"/>
              </w:rPr>
            </w:pPr>
            <w:r>
              <w:rPr>
                <w:rFonts w:ascii="CG Times (W1)" w:hAnsi="CG Times (W1)" w:cs="CG Times (W1)"/>
                <w:sz w:val="22"/>
                <w:szCs w:val="22"/>
              </w:rPr>
              <w:t>ASTM-D D2216-92</w:t>
            </w:r>
          </w:p>
          <w:p w:rsidR="00762D55" w:rsidRDefault="00762D55" w:rsidP="00762D55">
            <w:pPr>
              <w:rPr>
                <w:rFonts w:ascii="CG Times (W1)" w:hAnsi="CG Times (W1)" w:cs="CG Times (W1)"/>
                <w:sz w:val="22"/>
                <w:szCs w:val="22"/>
              </w:rPr>
            </w:pPr>
            <w:r>
              <w:rPr>
                <w:rFonts w:ascii="CG Times (W1)" w:hAnsi="CG Times (W1)" w:cs="CG Times (W1)"/>
                <w:sz w:val="22"/>
                <w:szCs w:val="22"/>
              </w:rPr>
              <w:t>Laboratory Determination</w:t>
            </w:r>
            <w:r>
              <w:rPr>
                <w:rFonts w:ascii="CG Times (W1)" w:hAnsi="CG Times (W1)" w:cs="CG Times (W1)"/>
                <w:sz w:val="22"/>
                <w:szCs w:val="22"/>
                <w:vertAlign w:val="superscript"/>
              </w:rPr>
              <w:t>b</w:t>
            </w:r>
          </w:p>
        </w:tc>
      </w:tr>
      <w:tr w:rsidR="00762D55" w:rsidTr="00BB1A1D">
        <w:trPr>
          <w:trHeight w:val="402"/>
        </w:trPr>
        <w:tc>
          <w:tcPr>
            <w:tcW w:w="2660" w:type="dxa"/>
            <w:vMerge/>
            <w:tcBorders>
              <w:left w:val="double" w:sz="6" w:space="0" w:color="auto"/>
            </w:tcBorders>
            <w:vAlign w:val="center"/>
          </w:tcPr>
          <w:p w:rsidR="00762D55" w:rsidRDefault="00762D55" w:rsidP="00762D55">
            <w:pPr>
              <w:rPr>
                <w:rFonts w:ascii="CG Times (W1)" w:hAnsi="CG Times (W1)" w:cs="CG Times (W1)"/>
                <w:sz w:val="22"/>
                <w:szCs w:val="22"/>
              </w:rPr>
            </w:pPr>
          </w:p>
        </w:tc>
        <w:tc>
          <w:tcPr>
            <w:tcW w:w="2547" w:type="dxa"/>
            <w:vMerge/>
            <w:tcBorders>
              <w:left w:val="single" w:sz="6" w:space="0" w:color="auto"/>
            </w:tcBorders>
            <w:vAlign w:val="center"/>
          </w:tcPr>
          <w:p w:rsidR="00762D55" w:rsidRDefault="00762D55" w:rsidP="00762D55">
            <w:pPr>
              <w:rPr>
                <w:rFonts w:ascii="CG Times (W1)" w:hAnsi="CG Times (W1)" w:cs="CG Times (W1)"/>
                <w:sz w:val="22"/>
                <w:szCs w:val="22"/>
              </w:rPr>
            </w:pPr>
          </w:p>
        </w:tc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762D55" w:rsidRDefault="00762D55" w:rsidP="00762D55">
            <w:pPr>
              <w:rPr>
                <w:rFonts w:ascii="CG Times (W1)" w:hAnsi="CG Times (W1)" w:cs="CG Times (W1)"/>
                <w:sz w:val="22"/>
                <w:szCs w:val="22"/>
              </w:rPr>
            </w:pPr>
            <w:r>
              <w:rPr>
                <w:rFonts w:ascii="CG Times (W1)" w:hAnsi="CG Times (W1)" w:cs="CG Times (W1)"/>
                <w:sz w:val="22"/>
                <w:szCs w:val="22"/>
              </w:rPr>
              <w:t>ASTM-D D3017-88 (Reapproved 1993)</w:t>
            </w:r>
          </w:p>
          <w:p w:rsidR="00762D55" w:rsidRDefault="00762D55" w:rsidP="00762D55">
            <w:pPr>
              <w:rPr>
                <w:rFonts w:ascii="CG Times (W1)" w:hAnsi="CG Times (W1)" w:cs="CG Times (W1)"/>
                <w:sz w:val="22"/>
                <w:szCs w:val="22"/>
              </w:rPr>
            </w:pPr>
            <w:r>
              <w:rPr>
                <w:rFonts w:ascii="CG Times (W1)" w:hAnsi="CG Times (W1)" w:cs="CG Times (W1)"/>
                <w:sz w:val="22"/>
                <w:szCs w:val="22"/>
              </w:rPr>
              <w:t>Nuclear Method</w:t>
            </w:r>
            <w:r>
              <w:rPr>
                <w:rFonts w:ascii="CG Times (W1)" w:hAnsi="CG Times (W1)" w:cs="CG Times (W1)"/>
                <w:sz w:val="22"/>
                <w:szCs w:val="22"/>
                <w:vertAlign w:val="superscript"/>
              </w:rPr>
              <w:t>b</w:t>
            </w:r>
          </w:p>
        </w:tc>
      </w:tr>
      <w:tr w:rsidR="00762D55" w:rsidTr="00BB1A1D">
        <w:trPr>
          <w:trHeight w:val="795"/>
        </w:trPr>
        <w:tc>
          <w:tcPr>
            <w:tcW w:w="2660" w:type="dxa"/>
            <w:vMerge/>
            <w:tcBorders>
              <w:left w:val="double" w:sz="6" w:space="0" w:color="auto"/>
              <w:bottom w:val="single" w:sz="6" w:space="0" w:color="auto"/>
            </w:tcBorders>
            <w:vAlign w:val="center"/>
          </w:tcPr>
          <w:p w:rsidR="00762D55" w:rsidRDefault="00762D55" w:rsidP="00762D55">
            <w:pPr>
              <w:rPr>
                <w:rFonts w:ascii="CG Times (W1)" w:hAnsi="CG Times (W1)" w:cs="CG Times (W1)"/>
                <w:sz w:val="22"/>
                <w:szCs w:val="22"/>
              </w:rPr>
            </w:pPr>
          </w:p>
        </w:tc>
        <w:tc>
          <w:tcPr>
            <w:tcW w:w="2547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762D55" w:rsidRDefault="00762D55" w:rsidP="00762D55">
            <w:pPr>
              <w:rPr>
                <w:rFonts w:ascii="CG Times (W1)" w:hAnsi="CG Times (W1)" w:cs="CG Times (W1)"/>
                <w:sz w:val="22"/>
                <w:szCs w:val="22"/>
              </w:rPr>
            </w:pPr>
          </w:p>
        </w:tc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762D55" w:rsidRDefault="00762D55" w:rsidP="00762D55">
            <w:pPr>
              <w:rPr>
                <w:rFonts w:ascii="CG Times (W1)" w:hAnsi="CG Times (W1)" w:cs="CG Times (W1)"/>
                <w:sz w:val="22"/>
                <w:szCs w:val="22"/>
              </w:rPr>
            </w:pPr>
            <w:r>
              <w:rPr>
                <w:rFonts w:ascii="CG Times (W1)" w:hAnsi="CG Times (W1)" w:cs="CG Times (W1)"/>
                <w:sz w:val="22"/>
                <w:szCs w:val="22"/>
              </w:rPr>
              <w:t>Equivalent USEPA Method (e.g., sample preparation procedures described in methods 3541 or 3550)</w:t>
            </w:r>
          </w:p>
        </w:tc>
      </w:tr>
      <w:tr w:rsidR="00762D55" w:rsidTr="00BB1A1D">
        <w:trPr>
          <w:trHeight w:val="1380"/>
        </w:trPr>
        <w:tc>
          <w:tcPr>
            <w:tcW w:w="26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vAlign w:val="center"/>
          </w:tcPr>
          <w:p w:rsidR="00762D55" w:rsidRDefault="00762D55" w:rsidP="00762D55">
            <w:pPr>
              <w:rPr>
                <w:rFonts w:ascii="CG Times (W1)" w:hAnsi="CG Times (W1)" w:cs="CG Times (W1)"/>
                <w:sz w:val="22"/>
                <w:szCs w:val="22"/>
              </w:rPr>
            </w:pPr>
            <w:r>
              <w:rPr>
                <w:rFonts w:ascii="CG Times (W1)" w:hAnsi="CG Times (W1)" w:cs="CG Times (W1)"/>
                <w:sz w:val="22"/>
                <w:szCs w:val="22"/>
              </w:rPr>
              <w:t>f</w:t>
            </w:r>
            <w:r>
              <w:rPr>
                <w:rFonts w:ascii="CG Times (W1)" w:hAnsi="CG Times (W1)" w:cs="CG Times (W1)"/>
                <w:sz w:val="22"/>
                <w:szCs w:val="22"/>
                <w:vertAlign w:val="subscript"/>
              </w:rPr>
              <w:t>oc</w:t>
            </w:r>
            <w:r>
              <w:rPr>
                <w:rFonts w:ascii="CG Times (W1)" w:hAnsi="CG Times (W1)" w:cs="CG Times (W1)"/>
                <w:sz w:val="22"/>
                <w:szCs w:val="22"/>
              </w:rPr>
              <w:t xml:space="preserve"> (fraction organic carbon content)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62D55" w:rsidRDefault="00762D55" w:rsidP="00762D55">
            <w:pPr>
              <w:rPr>
                <w:rFonts w:ascii="CG Times (W1)" w:hAnsi="CG Times (W1)" w:cs="CG Times (W1)"/>
                <w:sz w:val="22"/>
                <w:szCs w:val="22"/>
              </w:rPr>
            </w:pPr>
            <w:r>
              <w:rPr>
                <w:rFonts w:ascii="CG Times (W1)" w:hAnsi="CG Times (W1)" w:cs="CG Times (W1)"/>
                <w:sz w:val="22"/>
                <w:szCs w:val="22"/>
              </w:rPr>
              <w:t>Surface or Subsurface</w:t>
            </w:r>
          </w:p>
        </w:tc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762D55" w:rsidRPr="000E5DAA" w:rsidRDefault="00762D55" w:rsidP="00762D55">
            <w:pPr>
              <w:rPr>
                <w:sz w:val="22"/>
                <w:szCs w:val="22"/>
              </w:rPr>
            </w:pPr>
            <w:r w:rsidRPr="000E5DAA">
              <w:rPr>
                <w:sz w:val="22"/>
                <w:szCs w:val="22"/>
              </w:rPr>
              <w:t>ASTM-D 2974-00</w:t>
            </w:r>
          </w:p>
          <w:p w:rsidR="00762D55" w:rsidRDefault="00762D55" w:rsidP="00762D55">
            <w:pPr>
              <w:rPr>
                <w:rFonts w:ascii="CG Times (W1)" w:hAnsi="CG Times (W1)" w:cs="CG Times (W1)"/>
                <w:sz w:val="22"/>
                <w:szCs w:val="22"/>
              </w:rPr>
            </w:pPr>
            <w:r w:rsidRPr="000E5DAA">
              <w:rPr>
                <w:sz w:val="22"/>
                <w:szCs w:val="22"/>
              </w:rPr>
              <w:t>Moisture, Ash, and Organic Matter</w:t>
            </w:r>
            <w:r w:rsidRPr="000E5DAA">
              <w:rPr>
                <w:sz w:val="22"/>
                <w:szCs w:val="22"/>
                <w:vertAlign w:val="superscript"/>
              </w:rPr>
              <w:t xml:space="preserve"> </w:t>
            </w:r>
            <w:r w:rsidRPr="000E5DAA">
              <w:rPr>
                <w:sz w:val="22"/>
                <w:szCs w:val="22"/>
              </w:rPr>
              <w:t>appropriately adjusted to estimate the fraction of organic carbon as stated in Nelson and Sommers (1982)</w:t>
            </w:r>
            <w:r w:rsidR="00925B52" w:rsidRPr="00745F35">
              <w:rPr>
                <w:sz w:val="22"/>
                <w:szCs w:val="22"/>
                <w:vertAlign w:val="superscript"/>
              </w:rPr>
              <w:t>b</w:t>
            </w:r>
          </w:p>
        </w:tc>
      </w:tr>
      <w:tr w:rsidR="00762D55" w:rsidTr="0083774B">
        <w:trPr>
          <w:trHeight w:val="1497"/>
        </w:trPr>
        <w:tc>
          <w:tcPr>
            <w:tcW w:w="2660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762D55" w:rsidRDefault="00762D55" w:rsidP="0083774B">
            <w:pPr>
              <w:spacing w:before="120"/>
              <w:rPr>
                <w:rFonts w:ascii="CG Times (W1)" w:hAnsi="CG Times (W1)" w:cs="CG Times (W1)"/>
                <w:sz w:val="22"/>
                <w:szCs w:val="22"/>
              </w:rPr>
            </w:pPr>
            <w:r>
              <w:rPr>
                <w:rFonts w:ascii="CG Times (W1)" w:hAnsi="CG Times (W1)" w:cs="CG Times (W1)"/>
                <w:sz w:val="22"/>
                <w:szCs w:val="22"/>
              </w:rPr>
              <w:sym w:font="Symbol" w:char="F068"/>
            </w:r>
            <w:r>
              <w:rPr>
                <w:rFonts w:ascii="CG Times (W1)" w:hAnsi="CG Times (W1)" w:cs="CG Times (W1)"/>
                <w:sz w:val="22"/>
                <w:szCs w:val="22"/>
              </w:rPr>
              <w:t xml:space="preserve"> or </w:t>
            </w:r>
            <w:r w:rsidR="0083774B" w:rsidRPr="0083774B">
              <w:t>θ</w:t>
            </w:r>
            <w:r>
              <w:rPr>
                <w:rFonts w:ascii="CG Times (W1)" w:hAnsi="CG Times (W1)" w:cs="CG Times (W1)"/>
                <w:sz w:val="22"/>
                <w:szCs w:val="22"/>
                <w:vertAlign w:val="subscript"/>
              </w:rPr>
              <w:t>T</w:t>
            </w:r>
            <w:r>
              <w:rPr>
                <w:rFonts w:ascii="CG Times (W1)" w:hAnsi="CG Times (W1)" w:cs="CG Times (W1)"/>
                <w:sz w:val="22"/>
                <w:szCs w:val="22"/>
              </w:rPr>
              <w:t xml:space="preserve"> (total soil porosity)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762D55" w:rsidRDefault="00762D55" w:rsidP="00762D55">
            <w:pPr>
              <w:spacing w:before="120"/>
              <w:rPr>
                <w:rFonts w:ascii="CG Times (W1)" w:hAnsi="CG Times (W1)" w:cs="CG Times (W1)"/>
                <w:sz w:val="22"/>
                <w:szCs w:val="22"/>
              </w:rPr>
            </w:pPr>
            <w:r>
              <w:rPr>
                <w:rFonts w:ascii="CG Times (W1)" w:hAnsi="CG Times (W1)" w:cs="CG Times (W1)"/>
                <w:sz w:val="22"/>
                <w:szCs w:val="22"/>
              </w:rPr>
              <w:t>Surface or Subsurface (calculated)</w:t>
            </w:r>
          </w:p>
        </w:tc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62D55" w:rsidRDefault="00762D55" w:rsidP="0009456E">
            <w:pPr>
              <w:rPr>
                <w:rFonts w:ascii="CG Times (W1)" w:hAnsi="CG Times (W1)" w:cs="CG Times (W1)"/>
                <w:sz w:val="22"/>
                <w:szCs w:val="22"/>
                <w:vertAlign w:val="subscript"/>
              </w:rPr>
            </w:pPr>
            <w:r>
              <w:rPr>
                <w:rFonts w:ascii="CG Times (W1)" w:hAnsi="CG Times (W1)" w:cs="CG Times (W1)"/>
                <w:sz w:val="22"/>
                <w:szCs w:val="22"/>
              </w:rPr>
              <w:t>Equation S24 in Appendix C, Table A for SSL Model, or Equation R23 in Appendix C, Table C for RBCA Model</w:t>
            </w:r>
            <w:r w:rsidR="00EF399D">
              <w:rPr>
                <w:rFonts w:ascii="CG Times (W1)" w:hAnsi="CG Times (W1)" w:cs="CG Times (W1)"/>
                <w:sz w:val="22"/>
                <w:szCs w:val="22"/>
              </w:rPr>
              <w:t>, or Equation J&amp;E16 in Appendix C, Table L for J&amp;E Model</w:t>
            </w:r>
          </w:p>
        </w:tc>
      </w:tr>
      <w:tr w:rsidR="00762D55" w:rsidTr="009D3387">
        <w:trPr>
          <w:trHeight w:val="1497"/>
        </w:trPr>
        <w:tc>
          <w:tcPr>
            <w:tcW w:w="2660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</w:tcBorders>
            <w:vAlign w:val="center"/>
          </w:tcPr>
          <w:p w:rsidR="00762D55" w:rsidRDefault="0083774B" w:rsidP="00762D55">
            <w:pPr>
              <w:spacing w:before="120"/>
              <w:rPr>
                <w:rFonts w:ascii="CG Times (W1)" w:hAnsi="CG Times (W1)" w:cs="CG Times (W1)"/>
                <w:sz w:val="22"/>
                <w:szCs w:val="22"/>
              </w:rPr>
            </w:pPr>
            <w:r w:rsidRPr="0083774B">
              <w:t>θ</w:t>
            </w:r>
            <w:r w:rsidR="00762D55">
              <w:rPr>
                <w:rFonts w:ascii="CG Times (W1)" w:hAnsi="CG Times (W1)" w:cs="CG Times (W1)"/>
                <w:sz w:val="22"/>
                <w:szCs w:val="22"/>
                <w:vertAlign w:val="subscript"/>
              </w:rPr>
              <w:t>a</w:t>
            </w:r>
            <w:r w:rsidR="00762D55">
              <w:rPr>
                <w:rFonts w:ascii="CG Times (W1)" w:hAnsi="CG Times (W1)" w:cs="CG Times (W1)"/>
                <w:sz w:val="22"/>
                <w:szCs w:val="22"/>
              </w:rPr>
              <w:t xml:space="preserve"> or </w:t>
            </w:r>
            <w:r w:rsidRPr="0083774B">
              <w:t>θ</w:t>
            </w:r>
            <w:r w:rsidR="00762D55">
              <w:rPr>
                <w:rFonts w:ascii="CG Times (W1)" w:hAnsi="CG Times (W1)" w:cs="CG Times (W1)"/>
                <w:sz w:val="22"/>
                <w:szCs w:val="22"/>
                <w:vertAlign w:val="subscript"/>
              </w:rPr>
              <w:t>as</w:t>
            </w:r>
            <w:r w:rsidR="00762D55">
              <w:rPr>
                <w:rFonts w:ascii="CG Times (W1)" w:hAnsi="CG Times (W1)" w:cs="CG Times (W1)"/>
                <w:sz w:val="22"/>
                <w:szCs w:val="22"/>
              </w:rPr>
              <w:t xml:space="preserve"> (air-filled soil porosity)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62D55" w:rsidRDefault="00762D55" w:rsidP="00762D55">
            <w:pPr>
              <w:spacing w:before="120"/>
              <w:rPr>
                <w:rFonts w:ascii="CG Times (W1)" w:hAnsi="CG Times (W1)" w:cs="CG Times (W1)"/>
                <w:sz w:val="22"/>
                <w:szCs w:val="22"/>
              </w:rPr>
            </w:pPr>
            <w:r>
              <w:rPr>
                <w:rFonts w:ascii="CG Times (W1)" w:hAnsi="CG Times (W1)" w:cs="CG Times (W1)"/>
                <w:sz w:val="22"/>
                <w:szCs w:val="22"/>
              </w:rPr>
              <w:t>Surface or Subsurface (calculated)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762D55" w:rsidRDefault="00762D55" w:rsidP="0009456E">
            <w:pPr>
              <w:spacing w:before="120"/>
              <w:rPr>
                <w:rFonts w:ascii="CG Times (W1)" w:hAnsi="CG Times (W1)" w:cs="CG Times (W1)"/>
                <w:sz w:val="22"/>
                <w:szCs w:val="22"/>
              </w:rPr>
            </w:pPr>
            <w:r>
              <w:rPr>
                <w:rFonts w:ascii="CG Times (W1)" w:hAnsi="CG Times (W1)" w:cs="CG Times (W1)"/>
                <w:sz w:val="22"/>
                <w:szCs w:val="22"/>
              </w:rPr>
              <w:t>Equation S21 in Appendix C, Table A for SSL Model, or Equation R21 in Appendix C, Table C for RBCA Model</w:t>
            </w:r>
            <w:r w:rsidR="00EF399D">
              <w:rPr>
                <w:rFonts w:ascii="CG Times (W1)" w:hAnsi="CG Times (W1)" w:cs="CG Times (W1)"/>
                <w:sz w:val="22"/>
                <w:szCs w:val="22"/>
              </w:rPr>
              <w:t>, or Equation J&amp;E1</w:t>
            </w:r>
            <w:r w:rsidR="00925B52">
              <w:rPr>
                <w:rFonts w:ascii="CG Times (W1)" w:hAnsi="CG Times (W1)" w:cs="CG Times (W1)"/>
                <w:sz w:val="22"/>
                <w:szCs w:val="22"/>
              </w:rPr>
              <w:t>8</w:t>
            </w:r>
            <w:r w:rsidR="00EF399D">
              <w:rPr>
                <w:rFonts w:ascii="CG Times (W1)" w:hAnsi="CG Times (W1)" w:cs="CG Times (W1)"/>
                <w:sz w:val="22"/>
                <w:szCs w:val="22"/>
              </w:rPr>
              <w:t xml:space="preserve"> in Appendix C, Table L for J&amp;E Model</w:t>
            </w:r>
          </w:p>
        </w:tc>
      </w:tr>
      <w:tr w:rsidR="00762D55" w:rsidTr="00BB1A1D">
        <w:trPr>
          <w:trHeight w:val="642"/>
        </w:trPr>
        <w:tc>
          <w:tcPr>
            <w:tcW w:w="26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vAlign w:val="center"/>
          </w:tcPr>
          <w:p w:rsidR="00762D55" w:rsidRDefault="0083774B" w:rsidP="00762D55">
            <w:pPr>
              <w:spacing w:before="120"/>
              <w:rPr>
                <w:rFonts w:ascii="CG Times (W1)" w:hAnsi="CG Times (W1)" w:cs="CG Times (W1)"/>
                <w:sz w:val="22"/>
                <w:szCs w:val="22"/>
              </w:rPr>
            </w:pPr>
            <w:r w:rsidRPr="0083774B">
              <w:t>θ</w:t>
            </w:r>
            <w:r w:rsidR="00762D55">
              <w:rPr>
                <w:rFonts w:ascii="CG Times (W1)" w:hAnsi="CG Times (W1)" w:cs="CG Times (W1)"/>
                <w:sz w:val="22"/>
                <w:szCs w:val="22"/>
                <w:vertAlign w:val="subscript"/>
              </w:rPr>
              <w:t>w</w:t>
            </w:r>
            <w:r w:rsidR="00762D55">
              <w:rPr>
                <w:rFonts w:ascii="CG Times (W1)" w:hAnsi="CG Times (W1)" w:cs="CG Times (W1)"/>
                <w:sz w:val="22"/>
                <w:szCs w:val="22"/>
              </w:rPr>
              <w:t xml:space="preserve"> or </w:t>
            </w:r>
            <w:r w:rsidRPr="0083774B">
              <w:t>θ</w:t>
            </w:r>
            <w:r w:rsidR="00762D55">
              <w:rPr>
                <w:rFonts w:ascii="CG Times (W1)" w:hAnsi="CG Times (W1)" w:cs="CG Times (W1)"/>
                <w:sz w:val="22"/>
                <w:szCs w:val="22"/>
                <w:vertAlign w:val="subscript"/>
              </w:rPr>
              <w:t>ws</w:t>
            </w:r>
            <w:r w:rsidR="00762D55">
              <w:rPr>
                <w:rFonts w:ascii="CG Times (W1)" w:hAnsi="CG Times (W1)" w:cs="CG Times (W1)"/>
                <w:sz w:val="22"/>
                <w:szCs w:val="22"/>
              </w:rPr>
              <w:t xml:space="preserve"> (water-filled soil porosity)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62D55" w:rsidRDefault="00762D55" w:rsidP="00762D55">
            <w:pPr>
              <w:spacing w:before="120"/>
              <w:rPr>
                <w:rFonts w:ascii="CG Times (W1)" w:hAnsi="CG Times (W1)" w:cs="CG Times (W1)"/>
                <w:sz w:val="22"/>
                <w:szCs w:val="22"/>
              </w:rPr>
            </w:pPr>
            <w:r>
              <w:rPr>
                <w:rFonts w:ascii="CG Times (W1)" w:hAnsi="CG Times (W1)" w:cs="CG Times (W1)"/>
                <w:sz w:val="22"/>
                <w:szCs w:val="22"/>
              </w:rPr>
              <w:t>Surface or Subsurface (calculated)</w:t>
            </w:r>
          </w:p>
        </w:tc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762D55" w:rsidRDefault="00762D55" w:rsidP="0009456E">
            <w:pPr>
              <w:spacing w:before="120"/>
              <w:rPr>
                <w:rFonts w:ascii="CG Times (W1)" w:hAnsi="CG Times (W1)" w:cs="CG Times (W1)"/>
                <w:sz w:val="22"/>
                <w:szCs w:val="22"/>
              </w:rPr>
            </w:pPr>
            <w:r>
              <w:rPr>
                <w:rFonts w:ascii="CG Times (W1)" w:hAnsi="CG Times (W1)" w:cs="CG Times (W1)"/>
                <w:sz w:val="22"/>
                <w:szCs w:val="22"/>
              </w:rPr>
              <w:t xml:space="preserve">Equation S20 in Appendix C, Table A for SSL Model, or Equation R22 in Appendix </w:t>
            </w:r>
            <w:r>
              <w:rPr>
                <w:rFonts w:ascii="CG Times (W1)" w:hAnsi="CG Times (W1)" w:cs="CG Times (W1)"/>
                <w:sz w:val="22"/>
                <w:szCs w:val="22"/>
              </w:rPr>
              <w:lastRenderedPageBreak/>
              <w:t>C, Table C for RBCA Model</w:t>
            </w:r>
            <w:r w:rsidR="00EF399D">
              <w:rPr>
                <w:rFonts w:ascii="CG Times (W1)" w:hAnsi="CG Times (W1)" w:cs="CG Times (W1)"/>
                <w:sz w:val="22"/>
                <w:szCs w:val="22"/>
              </w:rPr>
              <w:t>, or Equation J&amp;E1</w:t>
            </w:r>
            <w:r w:rsidR="00925B52">
              <w:rPr>
                <w:rFonts w:ascii="CG Times (W1)" w:hAnsi="CG Times (W1)" w:cs="CG Times (W1)"/>
                <w:sz w:val="22"/>
                <w:szCs w:val="22"/>
              </w:rPr>
              <w:t>7</w:t>
            </w:r>
            <w:r w:rsidR="00EF399D">
              <w:rPr>
                <w:rFonts w:ascii="CG Times (W1)" w:hAnsi="CG Times (W1)" w:cs="CG Times (W1)"/>
                <w:sz w:val="22"/>
                <w:szCs w:val="22"/>
              </w:rPr>
              <w:t xml:space="preserve"> in Appendix C, Table L for J&amp;E Model</w:t>
            </w:r>
          </w:p>
        </w:tc>
      </w:tr>
      <w:tr w:rsidR="00762D55" w:rsidTr="00BB1A1D">
        <w:trPr>
          <w:trHeight w:val="732"/>
        </w:trPr>
        <w:tc>
          <w:tcPr>
            <w:tcW w:w="2660" w:type="dxa"/>
            <w:vMerge w:val="restart"/>
            <w:tcBorders>
              <w:top w:val="single" w:sz="6" w:space="0" w:color="auto"/>
              <w:left w:val="double" w:sz="6" w:space="0" w:color="auto"/>
            </w:tcBorders>
            <w:vAlign w:val="center"/>
          </w:tcPr>
          <w:p w:rsidR="00762D55" w:rsidRDefault="00762D55" w:rsidP="00762D55">
            <w:pPr>
              <w:rPr>
                <w:rFonts w:ascii="CG Times (W1)" w:hAnsi="CG Times (W1)" w:cs="CG Times (W1)"/>
                <w:sz w:val="22"/>
                <w:szCs w:val="22"/>
              </w:rPr>
            </w:pPr>
            <w:r>
              <w:rPr>
                <w:rFonts w:ascii="CG Times (W1)" w:hAnsi="CG Times (W1)" w:cs="CG Times (W1)"/>
                <w:sz w:val="22"/>
                <w:szCs w:val="22"/>
              </w:rPr>
              <w:lastRenderedPageBreak/>
              <w:t>K (hydraulic conductivity)</w:t>
            </w:r>
          </w:p>
        </w:tc>
        <w:tc>
          <w:tcPr>
            <w:tcW w:w="2547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62D55" w:rsidRDefault="00762D55" w:rsidP="00762D55">
            <w:pPr>
              <w:rPr>
                <w:rFonts w:ascii="CG Times (W1)" w:hAnsi="CG Times (W1)" w:cs="CG Times (W1)"/>
                <w:sz w:val="22"/>
                <w:szCs w:val="22"/>
              </w:rPr>
            </w:pPr>
            <w:r>
              <w:rPr>
                <w:rFonts w:ascii="CG Times (W1)" w:hAnsi="CG Times (W1)" w:cs="CG Times (W1)"/>
                <w:sz w:val="22"/>
                <w:szCs w:val="22"/>
              </w:rPr>
              <w:t>Surface or Subsurface</w:t>
            </w:r>
          </w:p>
        </w:tc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762D55" w:rsidRDefault="00762D55" w:rsidP="00762D55">
            <w:pPr>
              <w:spacing w:before="120"/>
              <w:rPr>
                <w:rFonts w:ascii="CG Times (W1)" w:hAnsi="CG Times (W1)" w:cs="CG Times (W1)"/>
                <w:sz w:val="22"/>
                <w:szCs w:val="22"/>
              </w:rPr>
            </w:pPr>
            <w:r>
              <w:rPr>
                <w:rFonts w:ascii="CG Times (W1)" w:hAnsi="CG Times (W1)" w:cs="CG Times (W1)"/>
                <w:sz w:val="22"/>
                <w:szCs w:val="22"/>
              </w:rPr>
              <w:t>ASTM-D 5084-90</w:t>
            </w:r>
          </w:p>
          <w:p w:rsidR="00762D55" w:rsidRPr="00BB1A1D" w:rsidRDefault="00762D55" w:rsidP="00762D55">
            <w:pPr>
              <w:rPr>
                <w:rFonts w:ascii="CG Times (W1)" w:hAnsi="CG Times (W1)" w:cs="CG Times (W1)"/>
                <w:sz w:val="22"/>
                <w:szCs w:val="22"/>
                <w:vertAlign w:val="subscript"/>
              </w:rPr>
            </w:pPr>
            <w:r>
              <w:rPr>
                <w:rFonts w:ascii="CG Times (W1)" w:hAnsi="CG Times (W1)" w:cs="CG Times (W1)"/>
                <w:sz w:val="22"/>
                <w:szCs w:val="22"/>
              </w:rPr>
              <w:t>Flexible Wall Permeameter</w:t>
            </w:r>
            <w:r w:rsidR="00BB1A1D" w:rsidRPr="00BB1A1D">
              <w:rPr>
                <w:rFonts w:ascii="CG Times (W1)" w:hAnsi="CG Times (W1)" w:cs="CG Times (W1)"/>
                <w:sz w:val="22"/>
                <w:szCs w:val="22"/>
                <w:vertAlign w:val="superscript"/>
              </w:rPr>
              <w:t>b</w:t>
            </w:r>
          </w:p>
        </w:tc>
      </w:tr>
      <w:tr w:rsidR="00762D55" w:rsidTr="00BB1A1D">
        <w:trPr>
          <w:trHeight w:val="402"/>
        </w:trPr>
        <w:tc>
          <w:tcPr>
            <w:tcW w:w="2660" w:type="dxa"/>
            <w:vMerge/>
            <w:tcBorders>
              <w:left w:val="double" w:sz="6" w:space="0" w:color="auto"/>
            </w:tcBorders>
            <w:vAlign w:val="center"/>
          </w:tcPr>
          <w:p w:rsidR="00762D55" w:rsidRDefault="00762D55" w:rsidP="00762D55">
            <w:pPr>
              <w:rPr>
                <w:rFonts w:ascii="CG Times (W1)" w:hAnsi="CG Times (W1)" w:cs="CG Times (W1)"/>
                <w:sz w:val="22"/>
                <w:szCs w:val="22"/>
              </w:rPr>
            </w:pPr>
          </w:p>
        </w:tc>
        <w:tc>
          <w:tcPr>
            <w:tcW w:w="2547" w:type="dxa"/>
            <w:vMerge/>
            <w:tcBorders>
              <w:left w:val="single" w:sz="6" w:space="0" w:color="auto"/>
            </w:tcBorders>
            <w:vAlign w:val="center"/>
          </w:tcPr>
          <w:p w:rsidR="00762D55" w:rsidRDefault="00762D55" w:rsidP="00762D55">
            <w:pPr>
              <w:rPr>
                <w:rFonts w:ascii="CG Times (W1)" w:hAnsi="CG Times (W1)" w:cs="CG Times (W1)"/>
                <w:sz w:val="22"/>
                <w:szCs w:val="22"/>
              </w:rPr>
            </w:pPr>
          </w:p>
        </w:tc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762D55" w:rsidRDefault="00762D55" w:rsidP="00762D55">
            <w:pPr>
              <w:spacing w:before="120"/>
              <w:rPr>
                <w:rFonts w:ascii="CG Times (W1)" w:hAnsi="CG Times (W1)" w:cs="CG Times (W1)"/>
                <w:sz w:val="22"/>
                <w:szCs w:val="22"/>
              </w:rPr>
            </w:pPr>
            <w:r>
              <w:rPr>
                <w:rFonts w:ascii="CG Times (W1)" w:hAnsi="CG Times (W1)" w:cs="CG Times (W1)"/>
                <w:sz w:val="22"/>
                <w:szCs w:val="22"/>
              </w:rPr>
              <w:t>Pump Test</w:t>
            </w:r>
          </w:p>
        </w:tc>
      </w:tr>
      <w:tr w:rsidR="00762D55" w:rsidTr="00BB1A1D">
        <w:trPr>
          <w:trHeight w:val="402"/>
        </w:trPr>
        <w:tc>
          <w:tcPr>
            <w:tcW w:w="2660" w:type="dxa"/>
            <w:vMerge/>
            <w:tcBorders>
              <w:left w:val="double" w:sz="6" w:space="0" w:color="auto"/>
              <w:bottom w:val="single" w:sz="6" w:space="0" w:color="auto"/>
            </w:tcBorders>
            <w:vAlign w:val="center"/>
          </w:tcPr>
          <w:p w:rsidR="00762D55" w:rsidRDefault="00762D55" w:rsidP="00762D55">
            <w:pPr>
              <w:rPr>
                <w:rFonts w:ascii="CG Times (W1)" w:hAnsi="CG Times (W1)" w:cs="CG Times (W1)"/>
                <w:sz w:val="22"/>
                <w:szCs w:val="22"/>
              </w:rPr>
            </w:pPr>
          </w:p>
        </w:tc>
        <w:tc>
          <w:tcPr>
            <w:tcW w:w="2547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762D55" w:rsidRDefault="00762D55" w:rsidP="00762D55">
            <w:pPr>
              <w:rPr>
                <w:rFonts w:ascii="CG Times (W1)" w:hAnsi="CG Times (W1)" w:cs="CG Times (W1)"/>
                <w:sz w:val="22"/>
                <w:szCs w:val="22"/>
              </w:rPr>
            </w:pPr>
          </w:p>
        </w:tc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762D55" w:rsidRDefault="00762D55" w:rsidP="00762D55">
            <w:pPr>
              <w:spacing w:before="120"/>
              <w:rPr>
                <w:rFonts w:ascii="CG Times (W1)" w:hAnsi="CG Times (W1)" w:cs="CG Times (W1)"/>
                <w:sz w:val="22"/>
                <w:szCs w:val="22"/>
              </w:rPr>
            </w:pPr>
            <w:r>
              <w:rPr>
                <w:rFonts w:ascii="CG Times (W1)" w:hAnsi="CG Times (W1)" w:cs="CG Times (W1)"/>
                <w:sz w:val="22"/>
                <w:szCs w:val="22"/>
              </w:rPr>
              <w:t>Slug Test</w:t>
            </w:r>
          </w:p>
        </w:tc>
      </w:tr>
      <w:tr w:rsidR="00762D55" w:rsidTr="00BB1A1D">
        <w:trPr>
          <w:trHeight w:val="456"/>
        </w:trPr>
        <w:tc>
          <w:tcPr>
            <w:tcW w:w="266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762D55" w:rsidRDefault="00762D55" w:rsidP="00762D55">
            <w:pPr>
              <w:spacing w:before="120"/>
              <w:rPr>
                <w:rFonts w:ascii="CG Times (W1)" w:hAnsi="CG Times (W1)" w:cs="CG Times (W1)"/>
                <w:sz w:val="22"/>
                <w:szCs w:val="22"/>
              </w:rPr>
            </w:pPr>
            <w:r>
              <w:rPr>
                <w:rFonts w:ascii="CG Times (W1)" w:hAnsi="CG Times (W1)" w:cs="CG Times (W1)"/>
                <w:sz w:val="22"/>
                <w:szCs w:val="22"/>
              </w:rPr>
              <w:t>i (hydraulic gradient)</w:t>
            </w: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center"/>
          </w:tcPr>
          <w:p w:rsidR="00762D55" w:rsidRDefault="00762D55" w:rsidP="00762D55">
            <w:pPr>
              <w:spacing w:before="120"/>
              <w:rPr>
                <w:rFonts w:ascii="CG Times (W1)" w:hAnsi="CG Times (W1)" w:cs="CG Times (W1)"/>
                <w:sz w:val="22"/>
                <w:szCs w:val="22"/>
              </w:rPr>
            </w:pPr>
            <w:r>
              <w:rPr>
                <w:rFonts w:ascii="CG Times (W1)" w:hAnsi="CG Times (W1)" w:cs="CG Times (W1)"/>
                <w:sz w:val="22"/>
                <w:szCs w:val="22"/>
              </w:rPr>
              <w:t>Surface or Subsurface</w:t>
            </w:r>
          </w:p>
        </w:tc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62D55" w:rsidRDefault="00762D55" w:rsidP="00762D55">
            <w:pPr>
              <w:spacing w:before="120"/>
              <w:rPr>
                <w:rFonts w:ascii="CG Times (W1)" w:hAnsi="CG Times (W1)" w:cs="CG Times (W1)"/>
                <w:sz w:val="22"/>
                <w:szCs w:val="22"/>
              </w:rPr>
            </w:pPr>
            <w:r>
              <w:rPr>
                <w:rFonts w:ascii="CG Times (W1)" w:hAnsi="CG Times (W1)" w:cs="CG Times (W1)"/>
                <w:sz w:val="22"/>
                <w:szCs w:val="22"/>
              </w:rPr>
              <w:t>Field Measurement</w:t>
            </w:r>
          </w:p>
        </w:tc>
      </w:tr>
    </w:tbl>
    <w:p w:rsidR="00762D55" w:rsidRDefault="00762D55" w:rsidP="00762D55">
      <w:pPr>
        <w:rPr>
          <w:rFonts w:ascii="CG Times (W1)" w:hAnsi="CG Times (W1)" w:cs="CG Times (W1)"/>
          <w:vertAlign w:val="superscript"/>
        </w:rPr>
      </w:pPr>
    </w:p>
    <w:p w:rsidR="00762D55" w:rsidRDefault="00D42456" w:rsidP="00762D55">
      <w:pPr>
        <w:ind w:left="240" w:hanging="240"/>
        <w:rPr>
          <w:rFonts w:ascii="CG Times (W1)" w:hAnsi="CG Times (W1)" w:cs="CG Times (W1)"/>
        </w:rPr>
      </w:pPr>
      <w:r>
        <w:rPr>
          <w:rFonts w:ascii="CG Times (W1)" w:hAnsi="CG Times (W1)" w:cs="CG Times (W1)"/>
          <w:vertAlign w:val="superscript"/>
        </w:rPr>
        <w:t>a.</w:t>
      </w:r>
      <w:r w:rsidR="00762D55">
        <w:rPr>
          <w:rFonts w:ascii="CG Times (W1)" w:hAnsi="CG Times (W1)" w:cs="CG Times (W1)"/>
          <w:vertAlign w:val="superscript"/>
        </w:rPr>
        <w:tab/>
      </w:r>
      <w:r w:rsidR="00762D55">
        <w:rPr>
          <w:rFonts w:ascii="CG Times (W1)" w:hAnsi="CG Times (W1)" w:cs="CG Times (W1)"/>
        </w:rPr>
        <w:t>This is the location where the sample is collected</w:t>
      </w:r>
    </w:p>
    <w:p w:rsidR="00D42456" w:rsidRDefault="00D42456" w:rsidP="00762D55">
      <w:pPr>
        <w:ind w:left="240" w:hanging="240"/>
        <w:rPr>
          <w:rFonts w:ascii="CG Times (W1)" w:hAnsi="CG Times (W1)" w:cs="CG Times (W1)"/>
          <w:vertAlign w:val="superscript"/>
        </w:rPr>
      </w:pPr>
    </w:p>
    <w:p w:rsidR="00762D55" w:rsidRDefault="00762D55" w:rsidP="00762D55">
      <w:pPr>
        <w:ind w:left="240" w:hanging="240"/>
        <w:rPr>
          <w:rFonts w:ascii="CG Times (W1)" w:hAnsi="CG Times (W1)" w:cs="CG Times (W1)"/>
        </w:rPr>
      </w:pPr>
      <w:r>
        <w:rPr>
          <w:rFonts w:ascii="CG Times (W1)" w:hAnsi="CG Times (W1)" w:cs="CG Times (W1)"/>
          <w:vertAlign w:val="superscript"/>
        </w:rPr>
        <w:t>b</w:t>
      </w:r>
      <w:r>
        <w:rPr>
          <w:rFonts w:ascii="CG Times (W1)" w:hAnsi="CG Times (W1)" w:cs="CG Times (W1)"/>
        </w:rPr>
        <w:tab/>
        <w:t>As incorporated by reference in Section 742.120.</w:t>
      </w:r>
    </w:p>
    <w:p w:rsidR="00762D55" w:rsidRDefault="00762D55" w:rsidP="00762D55">
      <w:pPr>
        <w:rPr>
          <w:rFonts w:ascii="CG Times (W1)" w:hAnsi="CG Times (W1)" w:cs="CG Times (W1)"/>
        </w:rPr>
      </w:pPr>
    </w:p>
    <w:p w:rsidR="00762D55" w:rsidRPr="00D55B37" w:rsidRDefault="00EF399D" w:rsidP="00762D5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CB3AB7">
        <w:t>7</w:t>
      </w:r>
      <w:r>
        <w:t xml:space="preserve"> I</w:t>
      </w:r>
      <w:r w:rsidRPr="00D55B37">
        <w:t xml:space="preserve">ll. Reg. </w:t>
      </w:r>
      <w:r w:rsidR="00125632">
        <w:t>7506</w:t>
      </w:r>
      <w:r w:rsidRPr="00D55B37">
        <w:t xml:space="preserve">, effective </w:t>
      </w:r>
      <w:bookmarkStart w:id="1" w:name="_GoBack"/>
      <w:r w:rsidR="00125632">
        <w:t>May 15, 2013</w:t>
      </w:r>
      <w:bookmarkEnd w:id="1"/>
      <w:r w:rsidRPr="00D55B37">
        <w:t>)</w:t>
      </w:r>
    </w:p>
    <w:sectPr w:rsidR="00762D55" w:rsidRPr="00D55B37" w:rsidSect="008F75F6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13B0"/>
    <w:rsid w:val="0009456E"/>
    <w:rsid w:val="000E1F7C"/>
    <w:rsid w:val="000E5DAA"/>
    <w:rsid w:val="00125632"/>
    <w:rsid w:val="00136EB7"/>
    <w:rsid w:val="002A71B6"/>
    <w:rsid w:val="003D13B0"/>
    <w:rsid w:val="003D3D74"/>
    <w:rsid w:val="004650A1"/>
    <w:rsid w:val="00534D7F"/>
    <w:rsid w:val="00542827"/>
    <w:rsid w:val="0054447F"/>
    <w:rsid w:val="005C3366"/>
    <w:rsid w:val="006571F9"/>
    <w:rsid w:val="006B0198"/>
    <w:rsid w:val="0073145E"/>
    <w:rsid w:val="00745F35"/>
    <w:rsid w:val="00762D55"/>
    <w:rsid w:val="0083774B"/>
    <w:rsid w:val="008D0B26"/>
    <w:rsid w:val="008F75F6"/>
    <w:rsid w:val="00925B52"/>
    <w:rsid w:val="009D3387"/>
    <w:rsid w:val="00A35F44"/>
    <w:rsid w:val="00A63540"/>
    <w:rsid w:val="00AB297C"/>
    <w:rsid w:val="00B0396C"/>
    <w:rsid w:val="00B1031A"/>
    <w:rsid w:val="00BA3724"/>
    <w:rsid w:val="00BB1A1D"/>
    <w:rsid w:val="00C81336"/>
    <w:rsid w:val="00CA59BF"/>
    <w:rsid w:val="00CB3AB7"/>
    <w:rsid w:val="00CF21A9"/>
    <w:rsid w:val="00D12398"/>
    <w:rsid w:val="00D42456"/>
    <w:rsid w:val="00DE7243"/>
    <w:rsid w:val="00ED1335"/>
    <w:rsid w:val="00ED7723"/>
    <w:rsid w:val="00EF399D"/>
    <w:rsid w:val="00FC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2D55"/>
    <w:rPr>
      <w:sz w:val="24"/>
      <w:szCs w:val="24"/>
    </w:rPr>
  </w:style>
  <w:style w:type="paragraph" w:styleId="Heading4">
    <w:name w:val="heading 4"/>
    <w:basedOn w:val="Normal"/>
    <w:next w:val="Normal"/>
    <w:qFormat/>
    <w:rsid w:val="00B1031A"/>
    <w:pPr>
      <w:keepNext/>
      <w:outlineLvl w:val="3"/>
    </w:pPr>
    <w:rPr>
      <w:rFonts w:ascii="CG Times" w:hAnsi="CG Times" w:cs="CG 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D3D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2D55"/>
    <w:rPr>
      <w:sz w:val="24"/>
      <w:szCs w:val="24"/>
    </w:rPr>
  </w:style>
  <w:style w:type="paragraph" w:styleId="Heading4">
    <w:name w:val="heading 4"/>
    <w:basedOn w:val="Normal"/>
    <w:next w:val="Normal"/>
    <w:qFormat/>
    <w:rsid w:val="00B1031A"/>
    <w:pPr>
      <w:keepNext/>
      <w:outlineLvl w:val="3"/>
    </w:pPr>
    <w:rPr>
      <w:rFonts w:ascii="CG Times" w:hAnsi="CG Times" w:cs="CG 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D3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King, Melissa A.</cp:lastModifiedBy>
  <cp:revision>4</cp:revision>
  <dcterms:created xsi:type="dcterms:W3CDTF">2013-05-23T15:47:00Z</dcterms:created>
  <dcterms:modified xsi:type="dcterms:W3CDTF">2013-05-24T19:52:00Z</dcterms:modified>
</cp:coreProperties>
</file>