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BC4" w:rsidRDefault="00D24BC4" w:rsidP="00D24BC4">
      <w:pPr>
        <w:ind w:right="12"/>
      </w:pPr>
    </w:p>
    <w:p w:rsidR="00D24BC4" w:rsidRDefault="00D24BC4" w:rsidP="00D24BC4">
      <w:pPr>
        <w:ind w:right="12"/>
      </w:pPr>
      <w:r>
        <w:rPr>
          <w:b/>
          <w:bCs/>
        </w:rPr>
        <w:t>Section 742.805  Tier 2 Groundwater Remediation Objectives</w:t>
      </w:r>
    </w:p>
    <w:p w:rsidR="00D24BC4" w:rsidRDefault="00D24BC4" w:rsidP="00D24BC4">
      <w:pPr>
        <w:ind w:right="12"/>
      </w:pPr>
    </w:p>
    <w:p w:rsidR="00D24BC4" w:rsidRDefault="00D24BC4" w:rsidP="00D24BC4">
      <w:pPr>
        <w:ind w:left="1425" w:right="12" w:hanging="705"/>
      </w:pPr>
      <w:r>
        <w:t>a)</w:t>
      </w:r>
      <w:r>
        <w:tab/>
        <w:t xml:space="preserve">To develop a groundwater remediation objective under this Section that exceeds the applicable Tier 1 groundwater remediation objective, or for which there is no Tier I groundwater remediation objective, a person may request approval from the Agency if the person has performed the following: </w:t>
      </w:r>
    </w:p>
    <w:p w:rsidR="00D24BC4" w:rsidRDefault="00D24BC4" w:rsidP="00D24BC4">
      <w:pPr>
        <w:ind w:left="2166" w:right="12" w:hanging="741"/>
      </w:pPr>
    </w:p>
    <w:p w:rsidR="00D24BC4" w:rsidRDefault="00D24BC4" w:rsidP="00D24BC4">
      <w:pPr>
        <w:ind w:left="2166" w:right="12" w:hanging="741"/>
      </w:pPr>
      <w:r>
        <w:t>1)</w:t>
      </w:r>
      <w:r>
        <w:tab/>
        <w:t>Identified the horizontal and vertical extent of groundwater for which the Tier 2 groundwater remediation objective is sought;</w:t>
      </w:r>
    </w:p>
    <w:p w:rsidR="00D24BC4" w:rsidRDefault="00D24BC4" w:rsidP="00D24BC4">
      <w:pPr>
        <w:ind w:left="2166" w:right="12" w:hanging="741"/>
      </w:pPr>
    </w:p>
    <w:p w:rsidR="00D24BC4" w:rsidRDefault="00D24BC4" w:rsidP="00D24BC4">
      <w:pPr>
        <w:ind w:left="2166" w:right="12" w:hanging="741"/>
      </w:pPr>
      <w:r>
        <w:t>2)</w:t>
      </w:r>
      <w:r>
        <w:tab/>
        <w:t>Taken corrective action, to the maximum extent practicable to remove any free product;</w:t>
      </w:r>
    </w:p>
    <w:p w:rsidR="00D24BC4" w:rsidRDefault="00D24BC4" w:rsidP="00D24BC4">
      <w:pPr>
        <w:ind w:left="2166" w:right="12" w:hanging="741"/>
      </w:pPr>
    </w:p>
    <w:p w:rsidR="00D24BC4" w:rsidRDefault="00D24BC4" w:rsidP="00D24BC4">
      <w:pPr>
        <w:ind w:left="2166" w:right="12" w:hanging="741"/>
      </w:pPr>
      <w:r>
        <w:t>3)</w:t>
      </w:r>
      <w:r>
        <w:tab/>
        <w:t>Using Equation R26 in accordance with Section 742.810, demonstrated that the concentration of any contaminant of concern in groundwater will meet:</w:t>
      </w:r>
    </w:p>
    <w:p w:rsidR="00D24BC4" w:rsidRDefault="00D24BC4" w:rsidP="00D24BC4">
      <w:pPr>
        <w:ind w:left="2907" w:right="12" w:hanging="741"/>
      </w:pPr>
    </w:p>
    <w:p w:rsidR="00D24BC4" w:rsidRDefault="00D24BC4" w:rsidP="00D24BC4">
      <w:pPr>
        <w:ind w:left="2907" w:right="12" w:hanging="741"/>
      </w:pPr>
      <w:r>
        <w:t>A)</w:t>
      </w:r>
      <w:r>
        <w:tab/>
        <w:t>The applicable Tier 1 groundwater remediation objective at the point of human exposure; or</w:t>
      </w:r>
    </w:p>
    <w:p w:rsidR="00D24BC4" w:rsidRDefault="00D24BC4" w:rsidP="00D24BC4">
      <w:pPr>
        <w:ind w:left="2907" w:right="12" w:hanging="741"/>
      </w:pPr>
    </w:p>
    <w:p w:rsidR="00D24BC4" w:rsidRDefault="00D24BC4" w:rsidP="00D24BC4">
      <w:pPr>
        <w:ind w:left="2907" w:right="12" w:hanging="741"/>
      </w:pPr>
      <w:r>
        <w:t>B)</w:t>
      </w:r>
      <w:r>
        <w:tab/>
        <w:t>For any contaminant of concern for which there is no Tier 1 groundwater remediation objective, the concentration determined according to the procedures specified in 35 Ill. Adm. Code 620 at the point of human exposure. A person may request the Agency to provide these concentrations or may propose these concentrations under Subpart I;</w:t>
      </w:r>
    </w:p>
    <w:p w:rsidR="00D24BC4" w:rsidRDefault="00D24BC4" w:rsidP="00D24BC4">
      <w:pPr>
        <w:ind w:left="2166" w:right="12" w:hanging="741"/>
      </w:pPr>
    </w:p>
    <w:p w:rsidR="00D24BC4" w:rsidRDefault="00D24BC4" w:rsidP="00D24BC4">
      <w:pPr>
        <w:ind w:left="2166" w:right="12" w:hanging="741"/>
      </w:pPr>
      <w:r>
        <w:t>4)</w:t>
      </w:r>
      <w:r>
        <w:tab/>
        <w:t>Using Equation R26 in accordance with Section 742.810, demonstrated that the concentration of any contaminant of concern in groundwater within the minimum or designated maximum setback zone of an existing potable water supply well will meet the applicable Tier 1 groundwater remediation objective or, if there is no Tier 1 groundwater remediation objective, the concentration determined according to the procedures specified in 35 Ill. Adm. Code 620. A person may request the Agency to provide these concentrations or may propose these concentrations under Subpart I;</w:t>
      </w:r>
    </w:p>
    <w:p w:rsidR="00D24BC4" w:rsidRDefault="00D24BC4" w:rsidP="00D24BC4">
      <w:pPr>
        <w:ind w:left="2166" w:right="12" w:hanging="741"/>
      </w:pPr>
    </w:p>
    <w:p w:rsidR="00D24BC4" w:rsidRDefault="00D24BC4" w:rsidP="00D24BC4">
      <w:pPr>
        <w:ind w:left="2166" w:right="12" w:hanging="741"/>
      </w:pPr>
      <w:r>
        <w:t>5)</w:t>
      </w:r>
      <w:r>
        <w:tab/>
        <w:t>Using Equation R26 in accordance with Section 742.810, demonstrated that the concentration of any contaminant of concern in groundwater discharging into a surface water will meet the applicable water quality standard under 35 Ill. Adm. Code 302;</w:t>
      </w:r>
    </w:p>
    <w:p w:rsidR="00D24BC4" w:rsidRDefault="00D24BC4" w:rsidP="00D24BC4">
      <w:pPr>
        <w:ind w:left="2166" w:right="12" w:hanging="741"/>
      </w:pPr>
    </w:p>
    <w:p w:rsidR="00D24BC4" w:rsidRDefault="00D24BC4" w:rsidP="00D24BC4">
      <w:pPr>
        <w:ind w:left="2166" w:right="12" w:hanging="741"/>
      </w:pPr>
      <w:r>
        <w:t>6)</w:t>
      </w:r>
      <w:r>
        <w:tab/>
        <w:t>Demonstrated that the source of the release is not located within the minimum or designated maximum setback zone or within a regulated recharge area of an existing potable water supply well; and</w:t>
      </w:r>
    </w:p>
    <w:p w:rsidR="00D24BC4" w:rsidRDefault="00D24BC4" w:rsidP="00D24BC4">
      <w:pPr>
        <w:ind w:left="2166" w:right="12" w:hanging="741"/>
      </w:pPr>
    </w:p>
    <w:p w:rsidR="00D24BC4" w:rsidRDefault="00D24BC4" w:rsidP="00D24BC4">
      <w:pPr>
        <w:ind w:left="2166" w:right="12" w:hanging="741"/>
      </w:pPr>
      <w:r>
        <w:t>7)</w:t>
      </w:r>
      <w:r>
        <w:tab/>
        <w:t xml:space="preserve">If the selected corrective action includes an engineered barrier as set forth in Subpart K to minimize migration of </w:t>
      </w:r>
      <w:r w:rsidR="00F550CF">
        <w:t>contaminants</w:t>
      </w:r>
      <w:r>
        <w:t xml:space="preserve"> of concern from the soil to the groundwater, demonstrated that the engineered barrier will remain in place for post-remediation land use through an institutional control as set forth in Subpart J.</w:t>
      </w:r>
    </w:p>
    <w:p w:rsidR="00D24BC4" w:rsidRDefault="00D24BC4" w:rsidP="00D24BC4">
      <w:pPr>
        <w:ind w:left="1425" w:right="12" w:hanging="741"/>
      </w:pPr>
    </w:p>
    <w:p w:rsidR="00D24BC4" w:rsidRDefault="00D24BC4" w:rsidP="00D24BC4">
      <w:pPr>
        <w:ind w:left="1425" w:right="12" w:hanging="741"/>
      </w:pPr>
      <w:r>
        <w:t>b)</w:t>
      </w:r>
      <w:r>
        <w:tab/>
        <w:t>A groundwater remediation objective that exceeds the water solubility of that chemical (refer to Appendix C, Table E for solubility values) is not allowed.</w:t>
      </w:r>
    </w:p>
    <w:p w:rsidR="00D24BC4" w:rsidRDefault="00D24BC4" w:rsidP="00D24BC4">
      <w:pPr>
        <w:ind w:left="1425" w:right="12" w:hanging="741"/>
      </w:pPr>
    </w:p>
    <w:p w:rsidR="00D24BC4" w:rsidRDefault="00D24BC4" w:rsidP="00D24BC4">
      <w:pPr>
        <w:ind w:left="1425" w:right="12" w:hanging="741"/>
      </w:pPr>
      <w:r>
        <w:t>c)</w:t>
      </w:r>
      <w:r>
        <w:tab/>
        <w:t>The contaminants of concern for which a Tier 1 remediation objective has been developed shall be included in any mixture of similar-acting chemicals under consideration in Tier 2. The evaluation of 35 Ill. Adm. Code 620.615 regarding mixtures of similar-acting chemicals shall be considered satisfied for Class I groundwater at the point of human exposure if either of the following requirements are achieved:</w:t>
      </w:r>
    </w:p>
    <w:p w:rsidR="00D24BC4" w:rsidRDefault="00D24BC4" w:rsidP="00D24BC4">
      <w:pPr>
        <w:ind w:left="1425" w:right="12"/>
      </w:pPr>
    </w:p>
    <w:p w:rsidR="00D24BC4" w:rsidRDefault="00D24BC4" w:rsidP="00D24BC4">
      <w:pPr>
        <w:ind w:left="1425" w:right="12"/>
      </w:pPr>
      <w:r>
        <w:t>1)</w:t>
      </w:r>
      <w:r>
        <w:tab/>
        <w:t>Calculate the weighted average using the following equations:</w:t>
      </w:r>
    </w:p>
    <w:p w:rsidR="00D24BC4" w:rsidRDefault="00D24BC4" w:rsidP="00D24BC4">
      <w:pPr>
        <w:ind w:right="12"/>
      </w:pPr>
    </w:p>
    <w:tbl>
      <w:tblPr>
        <w:tblW w:w="5487" w:type="dxa"/>
        <w:tblInd w:w="2235" w:type="dxa"/>
        <w:tblLayout w:type="fixed"/>
        <w:tblLook w:val="0000" w:firstRow="0" w:lastRow="0" w:firstColumn="0" w:lastColumn="0" w:noHBand="0" w:noVBand="0"/>
      </w:tblPr>
      <w:tblGrid>
        <w:gridCol w:w="679"/>
        <w:gridCol w:w="352"/>
        <w:gridCol w:w="860"/>
        <w:gridCol w:w="262"/>
        <w:gridCol w:w="871"/>
        <w:gridCol w:w="254"/>
        <w:gridCol w:w="837"/>
        <w:gridCol w:w="565"/>
        <w:gridCol w:w="807"/>
      </w:tblGrid>
      <w:tr w:rsidR="00D24BC4" w:rsidTr="00D24BC4">
        <w:tc>
          <w:tcPr>
            <w:tcW w:w="679" w:type="dxa"/>
            <w:vMerge w:val="restart"/>
            <w:vAlign w:val="center"/>
          </w:tcPr>
          <w:p w:rsidR="00D24BC4" w:rsidRPr="002F236D" w:rsidRDefault="00D24BC4" w:rsidP="00D24BC4">
            <w:pPr>
              <w:widowControl w:val="0"/>
              <w:autoSpaceDE w:val="0"/>
              <w:autoSpaceDN w:val="0"/>
              <w:adjustRightInd w:val="0"/>
              <w:ind w:right="12"/>
              <w:rPr>
                <w:vertAlign w:val="subscript"/>
              </w:rPr>
            </w:pPr>
            <w:r>
              <w:t>W</w:t>
            </w:r>
            <w:r>
              <w:rPr>
                <w:vertAlign w:val="subscript"/>
              </w:rPr>
              <w:t>ave</w:t>
            </w:r>
          </w:p>
        </w:tc>
        <w:tc>
          <w:tcPr>
            <w:tcW w:w="352" w:type="dxa"/>
            <w:vMerge w:val="restart"/>
            <w:vAlign w:val="center"/>
          </w:tcPr>
          <w:p w:rsidR="00D24BC4" w:rsidRDefault="00D24BC4" w:rsidP="00D24BC4">
            <w:pPr>
              <w:widowControl w:val="0"/>
              <w:autoSpaceDE w:val="0"/>
              <w:autoSpaceDN w:val="0"/>
              <w:adjustRightInd w:val="0"/>
              <w:ind w:right="12"/>
            </w:pPr>
            <w:r>
              <w:t>=</w:t>
            </w:r>
          </w:p>
        </w:tc>
        <w:tc>
          <w:tcPr>
            <w:tcW w:w="860" w:type="dxa"/>
            <w:tcBorders>
              <w:bottom w:val="single" w:sz="4" w:space="0" w:color="auto"/>
            </w:tcBorders>
          </w:tcPr>
          <w:p w:rsidR="00D24BC4" w:rsidRPr="002F236D" w:rsidRDefault="00D24BC4" w:rsidP="00D24BC4">
            <w:pPr>
              <w:widowControl w:val="0"/>
              <w:autoSpaceDE w:val="0"/>
              <w:autoSpaceDN w:val="0"/>
              <w:adjustRightInd w:val="0"/>
              <w:ind w:right="12"/>
              <w:jc w:val="center"/>
              <w:rPr>
                <w:i/>
                <w:iCs/>
                <w:vertAlign w:val="subscript"/>
              </w:rPr>
            </w:pPr>
            <w:r w:rsidRPr="002F236D">
              <w:rPr>
                <w:i/>
                <w:iCs/>
              </w:rPr>
              <w:t>x</w:t>
            </w:r>
            <w:r w:rsidRPr="002F236D">
              <w:rPr>
                <w:i/>
                <w:iCs/>
                <w:vertAlign w:val="subscript"/>
              </w:rPr>
              <w:t>1</w:t>
            </w:r>
          </w:p>
        </w:tc>
        <w:tc>
          <w:tcPr>
            <w:tcW w:w="262" w:type="dxa"/>
            <w:vMerge w:val="restart"/>
            <w:vAlign w:val="center"/>
          </w:tcPr>
          <w:p w:rsidR="00D24BC4" w:rsidRDefault="00D24BC4" w:rsidP="00D24BC4">
            <w:pPr>
              <w:widowControl w:val="0"/>
              <w:autoSpaceDE w:val="0"/>
              <w:autoSpaceDN w:val="0"/>
              <w:adjustRightInd w:val="0"/>
              <w:ind w:left="-108" w:right="12"/>
              <w:jc w:val="center"/>
            </w:pPr>
            <w:r>
              <w:t>+</w:t>
            </w:r>
          </w:p>
        </w:tc>
        <w:tc>
          <w:tcPr>
            <w:tcW w:w="871" w:type="dxa"/>
            <w:tcBorders>
              <w:bottom w:val="single" w:sz="4" w:space="0" w:color="auto"/>
            </w:tcBorders>
          </w:tcPr>
          <w:p w:rsidR="00D24BC4" w:rsidRPr="002F236D" w:rsidRDefault="00D24BC4" w:rsidP="00D24BC4">
            <w:pPr>
              <w:widowControl w:val="0"/>
              <w:autoSpaceDE w:val="0"/>
              <w:autoSpaceDN w:val="0"/>
              <w:adjustRightInd w:val="0"/>
              <w:ind w:right="12"/>
              <w:jc w:val="center"/>
              <w:rPr>
                <w:i/>
                <w:iCs/>
                <w:vertAlign w:val="subscript"/>
              </w:rPr>
            </w:pPr>
            <w:r w:rsidRPr="002F236D">
              <w:rPr>
                <w:i/>
                <w:iCs/>
              </w:rPr>
              <w:t>x</w:t>
            </w:r>
            <w:r w:rsidRPr="002F236D">
              <w:rPr>
                <w:i/>
                <w:iCs/>
                <w:vertAlign w:val="subscript"/>
              </w:rPr>
              <w:t>2</w:t>
            </w:r>
          </w:p>
        </w:tc>
        <w:tc>
          <w:tcPr>
            <w:tcW w:w="254" w:type="dxa"/>
            <w:vMerge w:val="restart"/>
            <w:vAlign w:val="center"/>
          </w:tcPr>
          <w:p w:rsidR="00D24BC4" w:rsidRDefault="00D24BC4" w:rsidP="00D24BC4">
            <w:pPr>
              <w:widowControl w:val="0"/>
              <w:autoSpaceDE w:val="0"/>
              <w:autoSpaceDN w:val="0"/>
              <w:adjustRightInd w:val="0"/>
              <w:ind w:left="-126" w:right="12"/>
            </w:pPr>
            <w:r>
              <w:t>+</w:t>
            </w:r>
          </w:p>
        </w:tc>
        <w:tc>
          <w:tcPr>
            <w:tcW w:w="837" w:type="dxa"/>
            <w:tcBorders>
              <w:bottom w:val="single" w:sz="4" w:space="0" w:color="auto"/>
            </w:tcBorders>
          </w:tcPr>
          <w:p w:rsidR="00D24BC4" w:rsidRPr="002F236D" w:rsidRDefault="00D24BC4" w:rsidP="00D24BC4">
            <w:pPr>
              <w:widowControl w:val="0"/>
              <w:autoSpaceDE w:val="0"/>
              <w:autoSpaceDN w:val="0"/>
              <w:adjustRightInd w:val="0"/>
              <w:ind w:right="12"/>
              <w:jc w:val="center"/>
              <w:rPr>
                <w:i/>
                <w:iCs/>
                <w:vertAlign w:val="subscript"/>
              </w:rPr>
            </w:pPr>
            <w:r w:rsidRPr="002F236D">
              <w:rPr>
                <w:i/>
                <w:iCs/>
              </w:rPr>
              <w:t>x</w:t>
            </w:r>
            <w:r w:rsidRPr="002F236D">
              <w:rPr>
                <w:i/>
                <w:iCs/>
                <w:vertAlign w:val="subscript"/>
              </w:rPr>
              <w:t>3</w:t>
            </w:r>
          </w:p>
        </w:tc>
        <w:tc>
          <w:tcPr>
            <w:tcW w:w="565" w:type="dxa"/>
            <w:vMerge w:val="restart"/>
            <w:vAlign w:val="center"/>
          </w:tcPr>
          <w:p w:rsidR="00D24BC4" w:rsidRDefault="00D24BC4" w:rsidP="00D24BC4">
            <w:pPr>
              <w:widowControl w:val="0"/>
              <w:autoSpaceDE w:val="0"/>
              <w:autoSpaceDN w:val="0"/>
              <w:adjustRightInd w:val="0"/>
              <w:ind w:left="-108" w:right="12"/>
              <w:jc w:val="center"/>
            </w:pPr>
            <w:r>
              <w:t>+...+</w:t>
            </w:r>
          </w:p>
        </w:tc>
        <w:tc>
          <w:tcPr>
            <w:tcW w:w="807" w:type="dxa"/>
          </w:tcPr>
          <w:p w:rsidR="00D24BC4" w:rsidRPr="002F236D" w:rsidRDefault="00D24BC4" w:rsidP="00D24BC4">
            <w:pPr>
              <w:widowControl w:val="0"/>
              <w:autoSpaceDE w:val="0"/>
              <w:autoSpaceDN w:val="0"/>
              <w:adjustRightInd w:val="0"/>
              <w:ind w:right="12"/>
              <w:jc w:val="center"/>
              <w:rPr>
                <w:i/>
                <w:iCs/>
                <w:vertAlign w:val="subscript"/>
              </w:rPr>
            </w:pPr>
            <w:r w:rsidRPr="002F236D">
              <w:rPr>
                <w:i/>
                <w:iCs/>
              </w:rPr>
              <w:t>x</w:t>
            </w:r>
            <w:r w:rsidRPr="002F236D">
              <w:rPr>
                <w:i/>
                <w:iCs/>
                <w:vertAlign w:val="subscript"/>
              </w:rPr>
              <w:t>a</w:t>
            </w:r>
          </w:p>
        </w:tc>
      </w:tr>
      <w:tr w:rsidR="00D24BC4" w:rsidTr="00D24BC4">
        <w:tc>
          <w:tcPr>
            <w:tcW w:w="679" w:type="dxa"/>
            <w:vMerge/>
          </w:tcPr>
          <w:p w:rsidR="00D24BC4" w:rsidRDefault="00D24BC4" w:rsidP="00D24BC4">
            <w:pPr>
              <w:widowControl w:val="0"/>
              <w:autoSpaceDE w:val="0"/>
              <w:autoSpaceDN w:val="0"/>
              <w:adjustRightInd w:val="0"/>
              <w:ind w:right="12"/>
            </w:pPr>
          </w:p>
        </w:tc>
        <w:tc>
          <w:tcPr>
            <w:tcW w:w="352" w:type="dxa"/>
            <w:vMerge/>
          </w:tcPr>
          <w:p w:rsidR="00D24BC4" w:rsidRDefault="00D24BC4" w:rsidP="00D24BC4">
            <w:pPr>
              <w:widowControl w:val="0"/>
              <w:autoSpaceDE w:val="0"/>
              <w:autoSpaceDN w:val="0"/>
              <w:adjustRightInd w:val="0"/>
              <w:ind w:right="12"/>
            </w:pPr>
          </w:p>
        </w:tc>
        <w:tc>
          <w:tcPr>
            <w:tcW w:w="860" w:type="dxa"/>
            <w:tcBorders>
              <w:top w:val="single" w:sz="4" w:space="0" w:color="auto"/>
            </w:tcBorders>
            <w:vAlign w:val="bottom"/>
          </w:tcPr>
          <w:p w:rsidR="00D24BC4" w:rsidRPr="002F236D" w:rsidRDefault="00D24BC4" w:rsidP="00D24BC4">
            <w:pPr>
              <w:widowControl w:val="0"/>
              <w:autoSpaceDE w:val="0"/>
              <w:autoSpaceDN w:val="0"/>
              <w:adjustRightInd w:val="0"/>
              <w:ind w:right="12"/>
              <w:jc w:val="center"/>
              <w:rPr>
                <w:i/>
                <w:iCs/>
                <w:vertAlign w:val="subscript"/>
              </w:rPr>
            </w:pPr>
            <w:r w:rsidRPr="002F236D">
              <w:rPr>
                <w:i/>
                <w:iCs/>
              </w:rPr>
              <w:t>CUO</w:t>
            </w:r>
            <w:r w:rsidRPr="002F236D">
              <w:rPr>
                <w:i/>
                <w:iCs/>
                <w:vertAlign w:val="subscript"/>
              </w:rPr>
              <w:t>x</w:t>
            </w:r>
          </w:p>
        </w:tc>
        <w:tc>
          <w:tcPr>
            <w:tcW w:w="262" w:type="dxa"/>
            <w:vMerge/>
          </w:tcPr>
          <w:p w:rsidR="00D24BC4" w:rsidRDefault="00D24BC4" w:rsidP="00D24BC4">
            <w:pPr>
              <w:widowControl w:val="0"/>
              <w:autoSpaceDE w:val="0"/>
              <w:autoSpaceDN w:val="0"/>
              <w:adjustRightInd w:val="0"/>
              <w:ind w:left="-108" w:right="12"/>
              <w:jc w:val="center"/>
            </w:pPr>
          </w:p>
        </w:tc>
        <w:tc>
          <w:tcPr>
            <w:tcW w:w="871" w:type="dxa"/>
            <w:tcBorders>
              <w:top w:val="single" w:sz="4" w:space="0" w:color="auto"/>
            </w:tcBorders>
            <w:vAlign w:val="bottom"/>
          </w:tcPr>
          <w:p w:rsidR="00D24BC4" w:rsidRPr="002F236D" w:rsidRDefault="00D24BC4" w:rsidP="00D24BC4">
            <w:pPr>
              <w:widowControl w:val="0"/>
              <w:autoSpaceDE w:val="0"/>
              <w:autoSpaceDN w:val="0"/>
              <w:adjustRightInd w:val="0"/>
              <w:ind w:right="12"/>
              <w:jc w:val="center"/>
              <w:rPr>
                <w:i/>
                <w:iCs/>
                <w:vertAlign w:val="subscript"/>
              </w:rPr>
            </w:pPr>
            <w:r w:rsidRPr="002F236D">
              <w:rPr>
                <w:i/>
                <w:iCs/>
              </w:rPr>
              <w:t>CUO</w:t>
            </w:r>
            <w:r w:rsidRPr="002F236D">
              <w:rPr>
                <w:i/>
                <w:iCs/>
                <w:vertAlign w:val="subscript"/>
              </w:rPr>
              <w:t>x</w:t>
            </w:r>
          </w:p>
        </w:tc>
        <w:tc>
          <w:tcPr>
            <w:tcW w:w="254" w:type="dxa"/>
            <w:vMerge/>
          </w:tcPr>
          <w:p w:rsidR="00D24BC4" w:rsidRDefault="00D24BC4" w:rsidP="00D24BC4">
            <w:pPr>
              <w:widowControl w:val="0"/>
              <w:autoSpaceDE w:val="0"/>
              <w:autoSpaceDN w:val="0"/>
              <w:adjustRightInd w:val="0"/>
              <w:ind w:left="-126" w:right="12"/>
              <w:jc w:val="center"/>
            </w:pPr>
          </w:p>
        </w:tc>
        <w:tc>
          <w:tcPr>
            <w:tcW w:w="837" w:type="dxa"/>
            <w:tcBorders>
              <w:top w:val="single" w:sz="4" w:space="0" w:color="auto"/>
            </w:tcBorders>
            <w:vAlign w:val="bottom"/>
          </w:tcPr>
          <w:p w:rsidR="00D24BC4" w:rsidRPr="002F236D" w:rsidRDefault="00D24BC4" w:rsidP="00D24BC4">
            <w:pPr>
              <w:widowControl w:val="0"/>
              <w:autoSpaceDE w:val="0"/>
              <w:autoSpaceDN w:val="0"/>
              <w:adjustRightInd w:val="0"/>
              <w:ind w:right="12"/>
              <w:jc w:val="center"/>
              <w:rPr>
                <w:i/>
                <w:iCs/>
                <w:vertAlign w:val="subscript"/>
              </w:rPr>
            </w:pPr>
            <w:r w:rsidRPr="002F236D">
              <w:rPr>
                <w:i/>
                <w:iCs/>
              </w:rPr>
              <w:t>CUO</w:t>
            </w:r>
            <w:r w:rsidRPr="002F236D">
              <w:rPr>
                <w:i/>
                <w:iCs/>
                <w:vertAlign w:val="subscript"/>
              </w:rPr>
              <w:t>x</w:t>
            </w:r>
          </w:p>
        </w:tc>
        <w:tc>
          <w:tcPr>
            <w:tcW w:w="565" w:type="dxa"/>
            <w:vMerge/>
          </w:tcPr>
          <w:p w:rsidR="00D24BC4" w:rsidRDefault="00D24BC4" w:rsidP="00D24BC4">
            <w:pPr>
              <w:widowControl w:val="0"/>
              <w:autoSpaceDE w:val="0"/>
              <w:autoSpaceDN w:val="0"/>
              <w:adjustRightInd w:val="0"/>
              <w:ind w:left="-108" w:right="12"/>
              <w:jc w:val="center"/>
            </w:pPr>
          </w:p>
        </w:tc>
        <w:tc>
          <w:tcPr>
            <w:tcW w:w="807" w:type="dxa"/>
            <w:vAlign w:val="bottom"/>
          </w:tcPr>
          <w:p w:rsidR="00D24BC4" w:rsidRPr="002F236D" w:rsidRDefault="00D24BC4" w:rsidP="00D24BC4">
            <w:pPr>
              <w:widowControl w:val="0"/>
              <w:autoSpaceDE w:val="0"/>
              <w:autoSpaceDN w:val="0"/>
              <w:adjustRightInd w:val="0"/>
              <w:ind w:right="12"/>
              <w:jc w:val="center"/>
              <w:rPr>
                <w:i/>
                <w:iCs/>
                <w:vertAlign w:val="subscript"/>
              </w:rPr>
            </w:pPr>
            <w:r w:rsidRPr="002F236D">
              <w:rPr>
                <w:i/>
                <w:iCs/>
              </w:rPr>
              <w:t>CUO</w:t>
            </w:r>
            <w:r w:rsidRPr="002F236D">
              <w:rPr>
                <w:i/>
                <w:iCs/>
                <w:vertAlign w:val="subscript"/>
              </w:rPr>
              <w:t>x</w:t>
            </w:r>
          </w:p>
        </w:tc>
      </w:tr>
      <w:tr w:rsidR="00D24BC4" w:rsidTr="00D24BC4">
        <w:tc>
          <w:tcPr>
            <w:tcW w:w="679" w:type="dxa"/>
          </w:tcPr>
          <w:p w:rsidR="00D24BC4" w:rsidRDefault="00D24BC4" w:rsidP="00D24BC4">
            <w:pPr>
              <w:widowControl w:val="0"/>
              <w:autoSpaceDE w:val="0"/>
              <w:autoSpaceDN w:val="0"/>
              <w:adjustRightInd w:val="0"/>
              <w:ind w:right="12"/>
            </w:pPr>
          </w:p>
        </w:tc>
        <w:tc>
          <w:tcPr>
            <w:tcW w:w="352" w:type="dxa"/>
          </w:tcPr>
          <w:p w:rsidR="00D24BC4" w:rsidRDefault="00D24BC4" w:rsidP="00D24BC4">
            <w:pPr>
              <w:widowControl w:val="0"/>
              <w:autoSpaceDE w:val="0"/>
              <w:autoSpaceDN w:val="0"/>
              <w:adjustRightInd w:val="0"/>
              <w:ind w:right="12"/>
            </w:pPr>
          </w:p>
        </w:tc>
        <w:tc>
          <w:tcPr>
            <w:tcW w:w="860" w:type="dxa"/>
          </w:tcPr>
          <w:p w:rsidR="00D24BC4" w:rsidRPr="002F236D" w:rsidRDefault="00D24BC4" w:rsidP="00D24BC4">
            <w:pPr>
              <w:widowControl w:val="0"/>
              <w:autoSpaceDE w:val="0"/>
              <w:autoSpaceDN w:val="0"/>
              <w:adjustRightInd w:val="0"/>
              <w:ind w:left="599" w:right="12"/>
              <w:rPr>
                <w:i/>
                <w:iCs/>
                <w:sz w:val="20"/>
                <w:szCs w:val="20"/>
                <w:vertAlign w:val="superscript"/>
              </w:rPr>
            </w:pPr>
            <w:r w:rsidRPr="002F236D">
              <w:rPr>
                <w:i/>
                <w:iCs/>
                <w:sz w:val="20"/>
                <w:szCs w:val="20"/>
                <w:vertAlign w:val="superscript"/>
              </w:rPr>
              <w:t>1</w:t>
            </w:r>
          </w:p>
        </w:tc>
        <w:tc>
          <w:tcPr>
            <w:tcW w:w="262" w:type="dxa"/>
            <w:vMerge/>
          </w:tcPr>
          <w:p w:rsidR="00D24BC4" w:rsidRDefault="00D24BC4" w:rsidP="00D24BC4">
            <w:pPr>
              <w:widowControl w:val="0"/>
              <w:autoSpaceDE w:val="0"/>
              <w:autoSpaceDN w:val="0"/>
              <w:adjustRightInd w:val="0"/>
              <w:ind w:left="-108" w:right="12"/>
              <w:jc w:val="center"/>
            </w:pPr>
          </w:p>
        </w:tc>
        <w:tc>
          <w:tcPr>
            <w:tcW w:w="871" w:type="dxa"/>
          </w:tcPr>
          <w:p w:rsidR="00D24BC4" w:rsidRPr="002F236D" w:rsidRDefault="00D24BC4" w:rsidP="00D24BC4">
            <w:pPr>
              <w:widowControl w:val="0"/>
              <w:autoSpaceDE w:val="0"/>
              <w:autoSpaceDN w:val="0"/>
              <w:adjustRightInd w:val="0"/>
              <w:ind w:left="620" w:right="12"/>
              <w:rPr>
                <w:i/>
                <w:iCs/>
                <w:sz w:val="20"/>
                <w:szCs w:val="20"/>
                <w:vertAlign w:val="superscript"/>
              </w:rPr>
            </w:pPr>
            <w:r w:rsidRPr="002F236D">
              <w:rPr>
                <w:i/>
                <w:iCs/>
                <w:sz w:val="20"/>
                <w:szCs w:val="20"/>
                <w:vertAlign w:val="superscript"/>
              </w:rPr>
              <w:t>2</w:t>
            </w:r>
          </w:p>
        </w:tc>
        <w:tc>
          <w:tcPr>
            <w:tcW w:w="254" w:type="dxa"/>
            <w:vMerge/>
          </w:tcPr>
          <w:p w:rsidR="00D24BC4" w:rsidRDefault="00D24BC4" w:rsidP="00D24BC4">
            <w:pPr>
              <w:widowControl w:val="0"/>
              <w:autoSpaceDE w:val="0"/>
              <w:autoSpaceDN w:val="0"/>
              <w:adjustRightInd w:val="0"/>
              <w:ind w:left="-126" w:right="12"/>
              <w:jc w:val="center"/>
            </w:pPr>
          </w:p>
        </w:tc>
        <w:tc>
          <w:tcPr>
            <w:tcW w:w="837" w:type="dxa"/>
          </w:tcPr>
          <w:p w:rsidR="00D24BC4" w:rsidRPr="002F236D" w:rsidRDefault="00D24BC4" w:rsidP="00D24BC4">
            <w:pPr>
              <w:widowControl w:val="0"/>
              <w:autoSpaceDE w:val="0"/>
              <w:autoSpaceDN w:val="0"/>
              <w:adjustRightInd w:val="0"/>
              <w:ind w:left="601" w:right="12"/>
              <w:rPr>
                <w:i/>
                <w:iCs/>
                <w:sz w:val="20"/>
                <w:szCs w:val="20"/>
                <w:vertAlign w:val="superscript"/>
              </w:rPr>
            </w:pPr>
            <w:r w:rsidRPr="002F236D">
              <w:rPr>
                <w:i/>
                <w:iCs/>
                <w:sz w:val="20"/>
                <w:szCs w:val="20"/>
                <w:vertAlign w:val="superscript"/>
              </w:rPr>
              <w:t>3</w:t>
            </w:r>
          </w:p>
        </w:tc>
        <w:tc>
          <w:tcPr>
            <w:tcW w:w="565" w:type="dxa"/>
            <w:vMerge/>
          </w:tcPr>
          <w:p w:rsidR="00D24BC4" w:rsidRDefault="00D24BC4" w:rsidP="00D24BC4">
            <w:pPr>
              <w:widowControl w:val="0"/>
              <w:autoSpaceDE w:val="0"/>
              <w:autoSpaceDN w:val="0"/>
              <w:adjustRightInd w:val="0"/>
              <w:ind w:left="-108" w:right="12"/>
              <w:jc w:val="center"/>
            </w:pPr>
          </w:p>
        </w:tc>
        <w:tc>
          <w:tcPr>
            <w:tcW w:w="807" w:type="dxa"/>
          </w:tcPr>
          <w:p w:rsidR="00D24BC4" w:rsidRPr="002F236D" w:rsidRDefault="00D24BC4" w:rsidP="00D24BC4">
            <w:pPr>
              <w:widowControl w:val="0"/>
              <w:autoSpaceDE w:val="0"/>
              <w:autoSpaceDN w:val="0"/>
              <w:adjustRightInd w:val="0"/>
              <w:ind w:left="601" w:right="12"/>
              <w:rPr>
                <w:i/>
                <w:iCs/>
                <w:sz w:val="20"/>
                <w:szCs w:val="20"/>
                <w:vertAlign w:val="superscript"/>
              </w:rPr>
            </w:pPr>
            <w:r w:rsidRPr="002F236D">
              <w:rPr>
                <w:i/>
                <w:iCs/>
                <w:sz w:val="20"/>
                <w:szCs w:val="20"/>
                <w:vertAlign w:val="superscript"/>
              </w:rPr>
              <w:t>a</w:t>
            </w:r>
          </w:p>
        </w:tc>
      </w:tr>
    </w:tbl>
    <w:p w:rsidR="00D24BC4" w:rsidRDefault="00D24BC4" w:rsidP="00D24BC4">
      <w:pPr>
        <w:widowControl w:val="0"/>
        <w:autoSpaceDE w:val="0"/>
        <w:autoSpaceDN w:val="0"/>
        <w:adjustRightInd w:val="0"/>
        <w:ind w:left="1440" w:right="12" w:hanging="720"/>
      </w:pPr>
    </w:p>
    <w:p w:rsidR="00D24BC4" w:rsidRDefault="00D24BC4" w:rsidP="00D24BC4">
      <w:pPr>
        <w:widowControl w:val="0"/>
        <w:autoSpaceDE w:val="0"/>
        <w:autoSpaceDN w:val="0"/>
        <w:adjustRightInd w:val="0"/>
        <w:ind w:left="2187" w:right="12" w:hanging="24"/>
      </w:pPr>
      <w:r>
        <w:t xml:space="preserve">where: </w:t>
      </w:r>
    </w:p>
    <w:p w:rsidR="00D24BC4" w:rsidRDefault="00D24BC4" w:rsidP="00D24BC4">
      <w:pPr>
        <w:widowControl w:val="0"/>
        <w:autoSpaceDE w:val="0"/>
        <w:autoSpaceDN w:val="0"/>
        <w:adjustRightInd w:val="0"/>
        <w:ind w:left="1482" w:right="12" w:hanging="24"/>
      </w:pPr>
    </w:p>
    <w:tbl>
      <w:tblPr>
        <w:tblW w:w="6823" w:type="dxa"/>
        <w:tblInd w:w="2217" w:type="dxa"/>
        <w:tblLook w:val="0000" w:firstRow="0" w:lastRow="0" w:firstColumn="0" w:lastColumn="0" w:noHBand="0" w:noVBand="0"/>
      </w:tblPr>
      <w:tblGrid>
        <w:gridCol w:w="1482"/>
        <w:gridCol w:w="509"/>
        <w:gridCol w:w="4832"/>
      </w:tblGrid>
      <w:tr w:rsidR="00D24BC4" w:rsidTr="00D24BC4">
        <w:trPr>
          <w:trHeight w:val="468"/>
        </w:trPr>
        <w:tc>
          <w:tcPr>
            <w:tcW w:w="1482" w:type="dxa"/>
          </w:tcPr>
          <w:p w:rsidR="00D24BC4" w:rsidRDefault="00D24BC4" w:rsidP="00D24BC4">
            <w:pPr>
              <w:widowControl w:val="0"/>
              <w:autoSpaceDE w:val="0"/>
              <w:autoSpaceDN w:val="0"/>
              <w:adjustRightInd w:val="0"/>
              <w:ind w:left="-51" w:right="12"/>
            </w:pPr>
            <w:r>
              <w:t>W</w:t>
            </w:r>
            <w:r>
              <w:rPr>
                <w:vertAlign w:val="subscript"/>
              </w:rPr>
              <w:t>ave</w:t>
            </w:r>
          </w:p>
        </w:tc>
        <w:tc>
          <w:tcPr>
            <w:tcW w:w="509" w:type="dxa"/>
          </w:tcPr>
          <w:p w:rsidR="00D24BC4" w:rsidRDefault="00D24BC4" w:rsidP="00D24BC4">
            <w:pPr>
              <w:widowControl w:val="0"/>
              <w:autoSpaceDE w:val="0"/>
              <w:autoSpaceDN w:val="0"/>
              <w:adjustRightInd w:val="0"/>
              <w:ind w:right="12"/>
            </w:pPr>
            <w:r>
              <w:t>=</w:t>
            </w:r>
          </w:p>
        </w:tc>
        <w:tc>
          <w:tcPr>
            <w:tcW w:w="4832" w:type="dxa"/>
          </w:tcPr>
          <w:p w:rsidR="00D24BC4" w:rsidRDefault="00D24BC4" w:rsidP="00D24BC4">
            <w:pPr>
              <w:widowControl w:val="0"/>
              <w:autoSpaceDE w:val="0"/>
              <w:autoSpaceDN w:val="0"/>
              <w:adjustRightInd w:val="0"/>
              <w:ind w:right="12"/>
            </w:pPr>
            <w:r>
              <w:t>Weighted Average</w:t>
            </w:r>
          </w:p>
        </w:tc>
      </w:tr>
      <w:tr w:rsidR="00D24BC4" w:rsidTr="00D24BC4">
        <w:trPr>
          <w:trHeight w:val="1278"/>
        </w:trPr>
        <w:tc>
          <w:tcPr>
            <w:tcW w:w="1482" w:type="dxa"/>
          </w:tcPr>
          <w:p w:rsidR="00D24BC4" w:rsidRPr="00334267" w:rsidRDefault="00D24BC4" w:rsidP="00D24BC4">
            <w:pPr>
              <w:widowControl w:val="0"/>
              <w:autoSpaceDE w:val="0"/>
              <w:autoSpaceDN w:val="0"/>
              <w:adjustRightInd w:val="0"/>
              <w:ind w:left="-51" w:right="12"/>
              <w:rPr>
                <w:vertAlign w:val="subscript"/>
              </w:rPr>
            </w:pPr>
            <w:r>
              <w:t>x</w:t>
            </w:r>
            <w:r>
              <w:rPr>
                <w:vertAlign w:val="subscript"/>
              </w:rPr>
              <w:t xml:space="preserve">1 </w:t>
            </w:r>
            <w:r>
              <w:t>through x</w:t>
            </w:r>
            <w:r>
              <w:rPr>
                <w:vertAlign w:val="subscript"/>
              </w:rPr>
              <w:t>a</w:t>
            </w:r>
          </w:p>
        </w:tc>
        <w:tc>
          <w:tcPr>
            <w:tcW w:w="509" w:type="dxa"/>
          </w:tcPr>
          <w:p w:rsidR="00D24BC4" w:rsidRDefault="00D24BC4" w:rsidP="00D24BC4">
            <w:pPr>
              <w:widowControl w:val="0"/>
              <w:autoSpaceDE w:val="0"/>
              <w:autoSpaceDN w:val="0"/>
              <w:adjustRightInd w:val="0"/>
              <w:ind w:right="12"/>
            </w:pPr>
            <w:r>
              <w:t>=</w:t>
            </w:r>
          </w:p>
        </w:tc>
        <w:tc>
          <w:tcPr>
            <w:tcW w:w="4832" w:type="dxa"/>
          </w:tcPr>
          <w:p w:rsidR="00D24BC4" w:rsidRDefault="00D24BC4" w:rsidP="00D24BC4">
            <w:pPr>
              <w:widowControl w:val="0"/>
              <w:autoSpaceDE w:val="0"/>
              <w:autoSpaceDN w:val="0"/>
              <w:adjustRightInd w:val="0"/>
              <w:ind w:right="12"/>
            </w:pPr>
            <w:r>
              <w:t>Concentration of each individual contaminant at the location of concern. Note that, depending on the target organ, the actual number of contaminants will range from 2 to 33.</w:t>
            </w:r>
          </w:p>
        </w:tc>
      </w:tr>
      <w:tr w:rsidR="00D24BC4" w:rsidTr="00D24BC4">
        <w:trPr>
          <w:trHeight w:val="278"/>
        </w:trPr>
        <w:tc>
          <w:tcPr>
            <w:tcW w:w="1482" w:type="dxa"/>
            <w:vAlign w:val="bottom"/>
          </w:tcPr>
          <w:p w:rsidR="00D24BC4" w:rsidRPr="00334267" w:rsidRDefault="00D24BC4" w:rsidP="00D24BC4">
            <w:pPr>
              <w:widowControl w:val="0"/>
              <w:autoSpaceDE w:val="0"/>
              <w:autoSpaceDN w:val="0"/>
              <w:adjustRightInd w:val="0"/>
              <w:ind w:left="-51" w:right="12"/>
              <w:rPr>
                <w:vertAlign w:val="subscript"/>
              </w:rPr>
            </w:pPr>
            <w:r>
              <w:t>CUO</w:t>
            </w:r>
            <w:r>
              <w:rPr>
                <w:vertAlign w:val="subscript"/>
              </w:rPr>
              <w:t>x</w:t>
            </w:r>
          </w:p>
        </w:tc>
        <w:tc>
          <w:tcPr>
            <w:tcW w:w="509" w:type="dxa"/>
            <w:vMerge w:val="restart"/>
          </w:tcPr>
          <w:p w:rsidR="00D24BC4" w:rsidRDefault="00D24BC4" w:rsidP="00D24BC4">
            <w:pPr>
              <w:widowControl w:val="0"/>
              <w:autoSpaceDE w:val="0"/>
              <w:autoSpaceDN w:val="0"/>
              <w:adjustRightInd w:val="0"/>
              <w:ind w:right="12"/>
            </w:pPr>
            <w:r>
              <w:t>=</w:t>
            </w:r>
          </w:p>
        </w:tc>
        <w:tc>
          <w:tcPr>
            <w:tcW w:w="4832" w:type="dxa"/>
            <w:vMerge w:val="restart"/>
          </w:tcPr>
          <w:p w:rsidR="00D24BC4" w:rsidRPr="00334267" w:rsidRDefault="00D24BC4" w:rsidP="00D24BC4">
            <w:pPr>
              <w:widowControl w:val="0"/>
              <w:autoSpaceDE w:val="0"/>
              <w:autoSpaceDN w:val="0"/>
              <w:adjustRightInd w:val="0"/>
              <w:ind w:right="12"/>
            </w:pPr>
            <w:r>
              <w:t>A Tier 1 or Tier 2 remediation objective must be developed for each x</w:t>
            </w:r>
            <w:r>
              <w:rPr>
                <w:vertAlign w:val="subscript"/>
              </w:rPr>
              <w:t>a</w:t>
            </w:r>
            <w:r>
              <w:t>.</w:t>
            </w:r>
          </w:p>
        </w:tc>
      </w:tr>
      <w:tr w:rsidR="00D24BC4" w:rsidTr="00D24BC4">
        <w:trPr>
          <w:trHeight w:val="278"/>
        </w:trPr>
        <w:tc>
          <w:tcPr>
            <w:tcW w:w="1482" w:type="dxa"/>
          </w:tcPr>
          <w:p w:rsidR="00D24BC4" w:rsidRDefault="00D24BC4" w:rsidP="00D24BC4">
            <w:pPr>
              <w:widowControl w:val="0"/>
              <w:autoSpaceDE w:val="0"/>
              <w:autoSpaceDN w:val="0"/>
              <w:adjustRightInd w:val="0"/>
              <w:ind w:left="555" w:right="12"/>
            </w:pPr>
            <w:r w:rsidRPr="00334267">
              <w:rPr>
                <w:sz w:val="20"/>
                <w:szCs w:val="20"/>
                <w:vertAlign w:val="superscript"/>
              </w:rPr>
              <w:t>a</w:t>
            </w:r>
          </w:p>
        </w:tc>
        <w:tc>
          <w:tcPr>
            <w:tcW w:w="509" w:type="dxa"/>
            <w:vMerge/>
          </w:tcPr>
          <w:p w:rsidR="00D24BC4" w:rsidRDefault="00D24BC4" w:rsidP="00D24BC4">
            <w:pPr>
              <w:widowControl w:val="0"/>
              <w:autoSpaceDE w:val="0"/>
              <w:autoSpaceDN w:val="0"/>
              <w:adjustRightInd w:val="0"/>
              <w:ind w:right="12"/>
            </w:pPr>
          </w:p>
        </w:tc>
        <w:tc>
          <w:tcPr>
            <w:tcW w:w="4832" w:type="dxa"/>
            <w:vMerge/>
          </w:tcPr>
          <w:p w:rsidR="00D24BC4" w:rsidRDefault="00D24BC4" w:rsidP="00D24BC4">
            <w:pPr>
              <w:widowControl w:val="0"/>
              <w:autoSpaceDE w:val="0"/>
              <w:autoSpaceDN w:val="0"/>
              <w:adjustRightInd w:val="0"/>
              <w:ind w:right="12"/>
            </w:pPr>
          </w:p>
        </w:tc>
      </w:tr>
    </w:tbl>
    <w:p w:rsidR="00D24BC4" w:rsidRDefault="00D24BC4" w:rsidP="00D24BC4">
      <w:pPr>
        <w:widowControl w:val="0"/>
        <w:autoSpaceDE w:val="0"/>
        <w:autoSpaceDN w:val="0"/>
        <w:adjustRightInd w:val="0"/>
        <w:ind w:left="2088" w:right="12" w:hanging="6"/>
      </w:pPr>
    </w:p>
    <w:p w:rsidR="00D24BC4" w:rsidRDefault="00D24BC4" w:rsidP="00D24BC4">
      <w:pPr>
        <w:widowControl w:val="0"/>
        <w:autoSpaceDE w:val="0"/>
        <w:autoSpaceDN w:val="0"/>
        <w:adjustRightInd w:val="0"/>
        <w:ind w:left="2907" w:right="12" w:hanging="735"/>
      </w:pPr>
      <w:r>
        <w:t>A)</w:t>
      </w:r>
      <w:r>
        <w:tab/>
        <w:t xml:space="preserve">If the value of the weighted average calculated in accordance with the equations above is less than or equal to 1.0, then the remediation objectives are met for those chemicals. </w:t>
      </w:r>
    </w:p>
    <w:p w:rsidR="00D24BC4" w:rsidRDefault="00D24BC4" w:rsidP="00D24BC4">
      <w:pPr>
        <w:widowControl w:val="0"/>
        <w:autoSpaceDE w:val="0"/>
        <w:autoSpaceDN w:val="0"/>
        <w:adjustRightInd w:val="0"/>
        <w:ind w:left="2907" w:right="12" w:hanging="747"/>
      </w:pPr>
    </w:p>
    <w:p w:rsidR="00D24BC4" w:rsidRDefault="00D24BC4" w:rsidP="00D24BC4">
      <w:pPr>
        <w:widowControl w:val="0"/>
        <w:autoSpaceDE w:val="0"/>
        <w:autoSpaceDN w:val="0"/>
        <w:adjustRightInd w:val="0"/>
        <w:ind w:left="2907" w:right="12" w:hanging="747"/>
      </w:pPr>
      <w:r>
        <w:t>B)</w:t>
      </w:r>
      <w:r>
        <w:tab/>
        <w:t xml:space="preserve">If the value of the weighted average calculated in accordance with the equations above is greater than 1.0, then additional remediation must be carried out until the level of contaminants remaining in the remediated area has a weighted average calculated in accordance with the equation above less than or equal to one; or </w:t>
      </w:r>
    </w:p>
    <w:p w:rsidR="00D24BC4" w:rsidRDefault="00D24BC4" w:rsidP="00D24BC4">
      <w:pPr>
        <w:widowControl w:val="0"/>
        <w:autoSpaceDE w:val="0"/>
        <w:autoSpaceDN w:val="0"/>
        <w:adjustRightInd w:val="0"/>
        <w:ind w:left="2166" w:right="12" w:hanging="720"/>
      </w:pPr>
    </w:p>
    <w:p w:rsidR="00D24BC4" w:rsidRDefault="00D24BC4" w:rsidP="00D24BC4">
      <w:pPr>
        <w:widowControl w:val="0"/>
        <w:autoSpaceDE w:val="0"/>
        <w:autoSpaceDN w:val="0"/>
        <w:adjustRightInd w:val="0"/>
        <w:ind w:left="2166" w:right="12" w:hanging="720"/>
      </w:pPr>
      <w:r>
        <w:t>2)</w:t>
      </w:r>
      <w:r>
        <w:tab/>
        <w:t xml:space="preserve">Divide each individual chemical's remediation objective by the number of </w:t>
      </w:r>
      <w:r>
        <w:lastRenderedPageBreak/>
        <w:t xml:space="preserve">chemicals in that specific target organ group that were detected at the site. Each of the contaminant concentrations at the site is then compared to the remediation objectives that have been adjusted to account for this potential additivity.  </w:t>
      </w:r>
    </w:p>
    <w:p w:rsidR="00D24BC4" w:rsidRDefault="00D24BC4" w:rsidP="00D24BC4">
      <w:pPr>
        <w:ind w:left="1425" w:right="12" w:hanging="684"/>
      </w:pPr>
    </w:p>
    <w:p w:rsidR="00D24BC4" w:rsidRDefault="00D24BC4" w:rsidP="00D24BC4">
      <w:pPr>
        <w:ind w:left="1425" w:right="12" w:hanging="684"/>
      </w:pPr>
      <w:r>
        <w:t>d)</w:t>
      </w:r>
      <w:r>
        <w:tab/>
        <w:t xml:space="preserve">The evaluation of 35 Ill. Adm. Code 620.615 regarding mixtures of similar-acting chemicals </w:t>
      </w:r>
      <w:r w:rsidR="006D2BAE">
        <w:t>is</w:t>
      </w:r>
      <w:r>
        <w:t xml:space="preserve"> considered satisfied if the cumulative risk from any </w:t>
      </w:r>
      <w:r w:rsidR="00F550CF">
        <w:t>contaminants</w:t>
      </w:r>
      <w:r>
        <w:t xml:space="preserve"> of concern listed in Appendix A, Table I, plus any other </w:t>
      </w:r>
      <w:r w:rsidR="00F550CF">
        <w:t>contaminants</w:t>
      </w:r>
      <w:r>
        <w:t xml:space="preserve"> of concern detected in groundwater and listed in Appendix A, Table F as affecting the same target organ/organ system as the </w:t>
      </w:r>
      <w:r w:rsidR="00F550CF">
        <w:t>contaminants</w:t>
      </w:r>
      <w:r>
        <w:t xml:space="preserve"> of concern detected from Appendix A, Table I, does not exceed 1 in 10,000.</w:t>
      </w:r>
    </w:p>
    <w:p w:rsidR="00D24BC4" w:rsidRDefault="00D24BC4" w:rsidP="00D24BC4">
      <w:pPr>
        <w:ind w:right="12"/>
      </w:pPr>
    </w:p>
    <w:p w:rsidR="006D2674" w:rsidRDefault="006D2674" w:rsidP="00BC0C43">
      <w:pPr>
        <w:ind w:left="1425" w:hanging="705"/>
      </w:pPr>
      <w:r w:rsidRPr="002A6A10">
        <w:t>e)</w:t>
      </w:r>
      <w:r>
        <w:tab/>
      </w:r>
      <w:r w:rsidRPr="002A6A10">
        <w:t>Groundwater remediation objectives for the indoor inhalation exposure route shall be developed in accordance with Section 742.812.</w:t>
      </w:r>
      <w:r w:rsidR="008149BA">
        <w:t xml:space="preserve">  For the indoor inhalation exposure route:</w:t>
      </w:r>
    </w:p>
    <w:p w:rsidR="008149BA" w:rsidRDefault="008149BA" w:rsidP="00BC0C43">
      <w:pPr>
        <w:ind w:left="1425" w:hanging="705"/>
      </w:pPr>
    </w:p>
    <w:p w:rsidR="006D2BAE" w:rsidRDefault="006D2BAE" w:rsidP="006D2BAE">
      <w:pPr>
        <w:ind w:left="2160" w:right="12" w:hanging="720"/>
      </w:pPr>
      <w:r>
        <w:t>1)</w:t>
      </w:r>
      <w:r>
        <w:tab/>
        <w:t>Appendix C, Table L applies only when the existing or potential building has a full concrete slab-on-grade or a full concrete basement floor and walls; and</w:t>
      </w:r>
    </w:p>
    <w:p w:rsidR="006D2BAE" w:rsidRDefault="006D2BAE" w:rsidP="00D24BC4">
      <w:pPr>
        <w:ind w:right="12"/>
      </w:pPr>
    </w:p>
    <w:p w:rsidR="006D2BAE" w:rsidRDefault="006D2BAE" w:rsidP="006D2BAE">
      <w:pPr>
        <w:ind w:left="2160" w:right="12" w:hanging="720"/>
      </w:pPr>
      <w:r>
        <w:t>2)</w:t>
      </w:r>
      <w:r>
        <w:tab/>
        <w:t>Institutional controls under Subpart J are required to develop groundwater remediation objectives pursuant to Appendix C, Table L.</w:t>
      </w:r>
    </w:p>
    <w:p w:rsidR="006D2BAE" w:rsidRDefault="006D2BAE" w:rsidP="00D24BC4">
      <w:pPr>
        <w:ind w:right="12"/>
      </w:pPr>
    </w:p>
    <w:p w:rsidR="00D24BC4" w:rsidRPr="00D55B37" w:rsidRDefault="006D2674" w:rsidP="00D24BC4">
      <w:pPr>
        <w:pStyle w:val="JCARSourceNote"/>
        <w:ind w:left="720"/>
      </w:pPr>
      <w:r w:rsidRPr="00D55B37">
        <w:t xml:space="preserve">(Source:  </w:t>
      </w:r>
      <w:r>
        <w:t>Amended</w:t>
      </w:r>
      <w:r w:rsidRPr="00D55B37">
        <w:t xml:space="preserve"> at </w:t>
      </w:r>
      <w:r>
        <w:t>3</w:t>
      </w:r>
      <w:r w:rsidR="00034395">
        <w:t>7</w:t>
      </w:r>
      <w:r>
        <w:t xml:space="preserve"> I</w:t>
      </w:r>
      <w:r w:rsidRPr="00D55B37">
        <w:t xml:space="preserve">ll. Reg. </w:t>
      </w:r>
      <w:r w:rsidR="003B2181">
        <w:t>7506</w:t>
      </w:r>
      <w:r w:rsidRPr="00D55B37">
        <w:t xml:space="preserve">, effective </w:t>
      </w:r>
      <w:bookmarkStart w:id="0" w:name="_GoBack"/>
      <w:r w:rsidR="003B2181">
        <w:t>May 15, 2013</w:t>
      </w:r>
      <w:bookmarkEnd w:id="0"/>
      <w:r w:rsidRPr="00D55B37">
        <w:t>)</w:t>
      </w:r>
    </w:p>
    <w:sectPr w:rsidR="00D24BC4" w:rsidRPr="00D55B37" w:rsidSect="00FF47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characterSpacingControl w:val="doNotCompress"/>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0527E"/>
    <w:rsid w:val="00034395"/>
    <w:rsid w:val="000C7E88"/>
    <w:rsid w:val="00121307"/>
    <w:rsid w:val="0019591E"/>
    <w:rsid w:val="00205595"/>
    <w:rsid w:val="002C1E4C"/>
    <w:rsid w:val="002F236D"/>
    <w:rsid w:val="00334267"/>
    <w:rsid w:val="003B2181"/>
    <w:rsid w:val="005D6142"/>
    <w:rsid w:val="006A4062"/>
    <w:rsid w:val="006D2674"/>
    <w:rsid w:val="006D2BAE"/>
    <w:rsid w:val="007A0549"/>
    <w:rsid w:val="0080527E"/>
    <w:rsid w:val="008149BA"/>
    <w:rsid w:val="00957F51"/>
    <w:rsid w:val="00A36E7E"/>
    <w:rsid w:val="00BC0C43"/>
    <w:rsid w:val="00C778F5"/>
    <w:rsid w:val="00D24BC4"/>
    <w:rsid w:val="00F550CF"/>
    <w:rsid w:val="00F85AB7"/>
    <w:rsid w:val="00FF4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4BC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JCARSourceNote">
    <w:name w:val="JCAR Source Note"/>
    <w:basedOn w:val="Normal"/>
    <w:rsid w:val="001959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4BC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JCARSourceNote">
    <w:name w:val="JCAR Source Note"/>
    <w:basedOn w:val="Normal"/>
    <w:rsid w:val="00195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Section 742</vt:lpstr>
    </vt:vector>
  </TitlesOfParts>
  <Company>State of Illinois</Company>
  <LinksUpToDate>false</LinksUpToDate>
  <CharactersWithSpaces>5344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742</dc:title>
  <dc:subject/>
  <dc:creator>Julia Zwilling</dc:creator>
  <cp:keywords/>
  <dc:description/>
  <cp:lastModifiedBy>King, Melissa A.</cp:lastModifiedBy>
  <cp:revision>3</cp:revision>
  <dcterms:created xsi:type="dcterms:W3CDTF">2013-05-23T15:47:00Z</dcterms:created>
  <dcterms:modified xsi:type="dcterms:W3CDTF">2013-05-24T19:51:00Z</dcterms:modified>
</cp:coreProperties>
</file>