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86" w:rsidRDefault="00540286" w:rsidP="005402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286" w:rsidRDefault="00540286" w:rsidP="00540286">
      <w:pPr>
        <w:widowControl w:val="0"/>
        <w:autoSpaceDE w:val="0"/>
        <w:autoSpaceDN w:val="0"/>
        <w:adjustRightInd w:val="0"/>
        <w:jc w:val="center"/>
      </w:pPr>
      <w:r>
        <w:t>SUBPART G:  REVIEW OF REMEDIATION COSTS FOR</w:t>
      </w:r>
    </w:p>
    <w:p w:rsidR="00540286" w:rsidRDefault="00540286" w:rsidP="00540286">
      <w:pPr>
        <w:widowControl w:val="0"/>
        <w:autoSpaceDE w:val="0"/>
        <w:autoSpaceDN w:val="0"/>
        <w:adjustRightInd w:val="0"/>
        <w:jc w:val="center"/>
      </w:pPr>
      <w:r>
        <w:t>ENVIRONMENTAL REMEDIATION TAX CREDIT</w:t>
      </w:r>
    </w:p>
    <w:sectPr w:rsidR="00540286" w:rsidSect="00540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286"/>
    <w:rsid w:val="00267EFC"/>
    <w:rsid w:val="00540286"/>
    <w:rsid w:val="005C3366"/>
    <w:rsid w:val="00B04A6C"/>
    <w:rsid w:val="00E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REVIEW OF REMEDIATION COSTS FOR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REVIEW OF REMEDIATION COSTS FOR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