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7A1" w:rsidRDefault="007957A1" w:rsidP="007957A1">
      <w:pPr>
        <w:widowControl w:val="0"/>
        <w:autoSpaceDE w:val="0"/>
        <w:autoSpaceDN w:val="0"/>
        <w:adjustRightInd w:val="0"/>
      </w:pPr>
    </w:p>
    <w:p w:rsidR="007957A1" w:rsidRDefault="007957A1" w:rsidP="007957A1">
      <w:pPr>
        <w:widowControl w:val="0"/>
        <w:autoSpaceDE w:val="0"/>
        <w:autoSpaceDN w:val="0"/>
        <w:adjustRightInd w:val="0"/>
      </w:pPr>
      <w:r>
        <w:rPr>
          <w:b/>
          <w:bCs/>
        </w:rPr>
        <w:t>Section 730.106  Area of Review</w:t>
      </w:r>
      <w:r>
        <w:t xml:space="preserve"> </w:t>
      </w:r>
    </w:p>
    <w:p w:rsidR="007957A1" w:rsidRDefault="007957A1" w:rsidP="007957A1">
      <w:pPr>
        <w:widowControl w:val="0"/>
        <w:autoSpaceDE w:val="0"/>
        <w:autoSpaceDN w:val="0"/>
        <w:adjustRightInd w:val="0"/>
      </w:pPr>
    </w:p>
    <w:p w:rsidR="007957A1" w:rsidRDefault="007957A1" w:rsidP="007957A1">
      <w:pPr>
        <w:widowControl w:val="0"/>
        <w:autoSpaceDE w:val="0"/>
        <w:autoSpaceDN w:val="0"/>
        <w:adjustRightInd w:val="0"/>
      </w:pPr>
      <w:r>
        <w:t>The area of review for each injection well or each field, project</w:t>
      </w:r>
      <w:r w:rsidR="00020816">
        <w:t>,</w:t>
      </w:r>
      <w:r>
        <w:t xml:space="preserve"> or area in Illinois </w:t>
      </w:r>
      <w:r w:rsidR="009A4FB9">
        <w:t>must</w:t>
      </w:r>
      <w:r>
        <w:t xml:space="preserve"> be determined according to either subsection (a) or (b).  The Agency may solicit input from the owners or operators of injection wells within Illinois as to which method is most appropriate for each geographic area or field. </w:t>
      </w:r>
    </w:p>
    <w:p w:rsidR="00480A55" w:rsidRDefault="00480A55" w:rsidP="007957A1">
      <w:pPr>
        <w:widowControl w:val="0"/>
        <w:autoSpaceDE w:val="0"/>
        <w:autoSpaceDN w:val="0"/>
        <w:adjustRightInd w:val="0"/>
      </w:pPr>
    </w:p>
    <w:p w:rsidR="007957A1" w:rsidRDefault="007957A1" w:rsidP="007957A1">
      <w:pPr>
        <w:widowControl w:val="0"/>
        <w:autoSpaceDE w:val="0"/>
        <w:autoSpaceDN w:val="0"/>
        <w:adjustRightInd w:val="0"/>
        <w:ind w:left="1440" w:hanging="720"/>
      </w:pPr>
      <w:r>
        <w:t>a)</w:t>
      </w:r>
      <w:r>
        <w:tab/>
        <w:t xml:space="preserve">Zone of </w:t>
      </w:r>
      <w:r w:rsidR="003B0C74">
        <w:t>Endangering Influence</w:t>
      </w:r>
      <w:r>
        <w:t xml:space="preserve">. </w:t>
      </w:r>
    </w:p>
    <w:p w:rsidR="00480A55" w:rsidRDefault="00480A55" w:rsidP="001C01A4">
      <w:pPr>
        <w:widowControl w:val="0"/>
        <w:autoSpaceDE w:val="0"/>
        <w:autoSpaceDN w:val="0"/>
        <w:adjustRightInd w:val="0"/>
      </w:pPr>
    </w:p>
    <w:p w:rsidR="007957A1" w:rsidRDefault="007957A1" w:rsidP="007957A1">
      <w:pPr>
        <w:widowControl w:val="0"/>
        <w:autoSpaceDE w:val="0"/>
        <w:autoSpaceDN w:val="0"/>
        <w:adjustRightInd w:val="0"/>
        <w:ind w:left="2160" w:hanging="720"/>
      </w:pPr>
      <w:r>
        <w:t>1)</w:t>
      </w:r>
      <w:r>
        <w:tab/>
        <w:t xml:space="preserve">The zone of endangering influence </w:t>
      </w:r>
      <w:r w:rsidR="009A4FB9">
        <w:t>must</w:t>
      </w:r>
      <w:r>
        <w:t xml:space="preserve"> be</w:t>
      </w:r>
      <w:r w:rsidR="009A4FB9">
        <w:t xml:space="preserve"> the applicable of the following</w:t>
      </w:r>
      <w:r>
        <w:t xml:space="preserve">: </w:t>
      </w:r>
    </w:p>
    <w:p w:rsidR="00480A55" w:rsidRDefault="00480A55" w:rsidP="001C01A4">
      <w:pPr>
        <w:widowControl w:val="0"/>
        <w:autoSpaceDE w:val="0"/>
        <w:autoSpaceDN w:val="0"/>
        <w:adjustRightInd w:val="0"/>
      </w:pPr>
    </w:p>
    <w:p w:rsidR="007957A1" w:rsidRDefault="007957A1" w:rsidP="007957A1">
      <w:pPr>
        <w:widowControl w:val="0"/>
        <w:autoSpaceDE w:val="0"/>
        <w:autoSpaceDN w:val="0"/>
        <w:adjustRightInd w:val="0"/>
        <w:ind w:left="2880" w:hanging="720"/>
      </w:pPr>
      <w:r>
        <w:t>A)</w:t>
      </w:r>
      <w:r>
        <w:tab/>
        <w:t xml:space="preserve">In the case of an application for a well permit </w:t>
      </w:r>
      <w:r w:rsidR="009A4FB9">
        <w:t>pursuant to</w:t>
      </w:r>
      <w:r>
        <w:t xml:space="preserve"> 35 Ill. Adm. Code 704.161, that area the radius of which is the lateral distance in which the pressures in the injection zone may cause the migration of the injection or formation fluid into an underground source of drinking water; or </w:t>
      </w:r>
    </w:p>
    <w:p w:rsidR="00480A55" w:rsidRDefault="00480A55" w:rsidP="001C01A4">
      <w:pPr>
        <w:widowControl w:val="0"/>
        <w:autoSpaceDE w:val="0"/>
        <w:autoSpaceDN w:val="0"/>
        <w:adjustRightInd w:val="0"/>
      </w:pPr>
    </w:p>
    <w:p w:rsidR="007957A1" w:rsidRDefault="007957A1" w:rsidP="007957A1">
      <w:pPr>
        <w:widowControl w:val="0"/>
        <w:autoSpaceDE w:val="0"/>
        <w:autoSpaceDN w:val="0"/>
        <w:adjustRightInd w:val="0"/>
        <w:ind w:left="2880" w:hanging="720"/>
      </w:pPr>
      <w:r>
        <w:t>B)</w:t>
      </w:r>
      <w:r>
        <w:tab/>
        <w:t xml:space="preserve">In the case of an application for an area permit </w:t>
      </w:r>
      <w:r w:rsidR="009A4FB9">
        <w:t>pursuant to</w:t>
      </w:r>
      <w:r>
        <w:t xml:space="preserve"> 35 Ill. Adm. Code 704.162, the project area plus a circumscribing area the width of which is the lateral distance from the perimeter of the project area, in which the pressures in the injection zone may cause the migration of the injection or formation fluid into an underground source of drinking water. </w:t>
      </w:r>
    </w:p>
    <w:p w:rsidR="00480A55" w:rsidRDefault="00480A55" w:rsidP="001C01A4">
      <w:pPr>
        <w:widowControl w:val="0"/>
        <w:autoSpaceDE w:val="0"/>
        <w:autoSpaceDN w:val="0"/>
        <w:adjustRightInd w:val="0"/>
      </w:pPr>
    </w:p>
    <w:p w:rsidR="007957A1" w:rsidRDefault="007957A1" w:rsidP="007957A1">
      <w:pPr>
        <w:widowControl w:val="0"/>
        <w:autoSpaceDE w:val="0"/>
        <w:autoSpaceDN w:val="0"/>
        <w:adjustRightInd w:val="0"/>
        <w:ind w:left="2160" w:hanging="720"/>
      </w:pPr>
      <w:r>
        <w:t>2)</w:t>
      </w:r>
      <w:r>
        <w:tab/>
        <w:t xml:space="preserve">Computation of the zone of endangering influence may be based upon the parameters listed below and should be calculated for an injection time period equal to the expected life of the injection well or pattern.  The following modified This equation illustrates one form that the mathematical model may take. </w:t>
      </w:r>
    </w:p>
    <w:p w:rsidR="00FB5E2E" w:rsidRDefault="00FB5E2E" w:rsidP="00FB5E2E">
      <w:pPr>
        <w:suppressAutoHyphens/>
        <w:rPr>
          <w:spacing w:val="-3"/>
        </w:rPr>
      </w:pPr>
    </w:p>
    <w:p w:rsidR="001716F2" w:rsidRDefault="001716F2" w:rsidP="001C01A4">
      <w:pPr>
        <w:widowControl w:val="0"/>
        <w:autoSpaceDE w:val="0"/>
        <w:autoSpaceDN w:val="0"/>
        <w:adjustRightInd w:val="0"/>
      </w:pPr>
    </w:p>
    <w:tbl>
      <w:tblPr>
        <w:tblW w:w="0" w:type="auto"/>
        <w:tblInd w:w="4310" w:type="dxa"/>
        <w:tblLook w:val="0000" w:firstRow="0" w:lastRow="0" w:firstColumn="0" w:lastColumn="0" w:noHBand="0" w:noVBand="0"/>
      </w:tblPr>
      <w:tblGrid>
        <w:gridCol w:w="296"/>
        <w:gridCol w:w="236"/>
        <w:gridCol w:w="422"/>
        <w:gridCol w:w="365"/>
        <w:gridCol w:w="1531"/>
      </w:tblGrid>
      <w:tr w:rsidR="007D0304" w:rsidTr="00C23F8C">
        <w:tc>
          <w:tcPr>
            <w:tcW w:w="296" w:type="dxa"/>
            <w:vMerge w:val="restart"/>
            <w:vAlign w:val="center"/>
          </w:tcPr>
          <w:p w:rsidR="007D0304" w:rsidRDefault="007D0304" w:rsidP="00C23F8C">
            <w:pPr>
              <w:widowControl w:val="0"/>
              <w:autoSpaceDE w:val="0"/>
              <w:autoSpaceDN w:val="0"/>
              <w:adjustRightInd w:val="0"/>
              <w:ind w:left="-117" w:right="-91"/>
              <w:jc w:val="center"/>
            </w:pPr>
            <w:r>
              <w:t>r</w:t>
            </w:r>
          </w:p>
        </w:tc>
        <w:tc>
          <w:tcPr>
            <w:tcW w:w="236" w:type="dxa"/>
            <w:vMerge w:val="restart"/>
            <w:vAlign w:val="center"/>
          </w:tcPr>
          <w:p w:rsidR="007D0304" w:rsidRDefault="007D0304" w:rsidP="00C23F8C">
            <w:pPr>
              <w:widowControl w:val="0"/>
              <w:autoSpaceDE w:val="0"/>
              <w:autoSpaceDN w:val="0"/>
              <w:adjustRightInd w:val="0"/>
              <w:ind w:left="-98" w:right="-99"/>
              <w:jc w:val="center"/>
            </w:pPr>
            <w:r>
              <w:t>=</w:t>
            </w:r>
          </w:p>
        </w:tc>
        <w:tc>
          <w:tcPr>
            <w:tcW w:w="422" w:type="dxa"/>
            <w:vMerge w:val="restart"/>
          </w:tcPr>
          <w:p w:rsidR="007D0304" w:rsidRPr="006870FC" w:rsidRDefault="007D0304" w:rsidP="00C23F8C">
            <w:pPr>
              <w:widowControl w:val="0"/>
              <w:autoSpaceDE w:val="0"/>
              <w:autoSpaceDN w:val="0"/>
              <w:adjustRightInd w:val="0"/>
              <w:ind w:right="-110"/>
              <w:rPr>
                <w:sz w:val="56"/>
                <w:szCs w:val="56"/>
              </w:rPr>
            </w:pPr>
            <w:r w:rsidRPr="006870FC">
              <w:rPr>
                <w:sz w:val="56"/>
                <w:szCs w:val="56"/>
              </w:rPr>
              <w:t>√</w:t>
            </w:r>
          </w:p>
        </w:tc>
        <w:tc>
          <w:tcPr>
            <w:tcW w:w="365" w:type="dxa"/>
            <w:vMerge w:val="restart"/>
            <w:tcBorders>
              <w:top w:val="single" w:sz="4" w:space="0" w:color="auto"/>
            </w:tcBorders>
            <w:vAlign w:val="center"/>
          </w:tcPr>
          <w:p w:rsidR="007D0304" w:rsidRPr="006870FC" w:rsidRDefault="007D0304" w:rsidP="00C23F8C">
            <w:pPr>
              <w:widowControl w:val="0"/>
              <w:autoSpaceDE w:val="0"/>
              <w:autoSpaceDN w:val="0"/>
              <w:adjustRightInd w:val="0"/>
              <w:ind w:left="-104" w:right="-128"/>
              <w:rPr>
                <w:sz w:val="8"/>
                <w:szCs w:val="8"/>
              </w:rPr>
            </w:pPr>
          </w:p>
        </w:tc>
        <w:tc>
          <w:tcPr>
            <w:tcW w:w="1531" w:type="dxa"/>
            <w:tcBorders>
              <w:top w:val="single" w:sz="4" w:space="0" w:color="auto"/>
              <w:bottom w:val="single" w:sz="4" w:space="0" w:color="auto"/>
            </w:tcBorders>
          </w:tcPr>
          <w:p w:rsidR="007D0304" w:rsidRDefault="007D0304" w:rsidP="00C23F8C">
            <w:pPr>
              <w:widowControl w:val="0"/>
              <w:autoSpaceDE w:val="0"/>
              <w:autoSpaceDN w:val="0"/>
              <w:adjustRightInd w:val="0"/>
              <w:ind w:left="-119" w:right="-95"/>
              <w:jc w:val="center"/>
            </w:pPr>
            <w:r>
              <w:t>2.25 kHt</w:t>
            </w:r>
          </w:p>
        </w:tc>
      </w:tr>
      <w:tr w:rsidR="007D0304" w:rsidTr="00C23F8C">
        <w:trPr>
          <w:trHeight w:val="215"/>
        </w:trPr>
        <w:tc>
          <w:tcPr>
            <w:tcW w:w="296" w:type="dxa"/>
            <w:vMerge/>
          </w:tcPr>
          <w:p w:rsidR="007D0304" w:rsidRDefault="007D0304" w:rsidP="00C23F8C">
            <w:pPr>
              <w:widowControl w:val="0"/>
              <w:autoSpaceDE w:val="0"/>
              <w:autoSpaceDN w:val="0"/>
              <w:adjustRightInd w:val="0"/>
            </w:pPr>
          </w:p>
        </w:tc>
        <w:tc>
          <w:tcPr>
            <w:tcW w:w="236" w:type="dxa"/>
            <w:vMerge/>
          </w:tcPr>
          <w:p w:rsidR="007D0304" w:rsidRDefault="007D0304" w:rsidP="00C23F8C">
            <w:pPr>
              <w:widowControl w:val="0"/>
              <w:autoSpaceDE w:val="0"/>
              <w:autoSpaceDN w:val="0"/>
              <w:adjustRightInd w:val="0"/>
              <w:ind w:left="-98" w:right="-99"/>
            </w:pPr>
          </w:p>
        </w:tc>
        <w:tc>
          <w:tcPr>
            <w:tcW w:w="422" w:type="dxa"/>
            <w:vMerge/>
          </w:tcPr>
          <w:p w:rsidR="007D0304" w:rsidRDefault="007D0304" w:rsidP="00C23F8C">
            <w:pPr>
              <w:widowControl w:val="0"/>
              <w:autoSpaceDE w:val="0"/>
              <w:autoSpaceDN w:val="0"/>
              <w:adjustRightInd w:val="0"/>
            </w:pPr>
          </w:p>
        </w:tc>
        <w:tc>
          <w:tcPr>
            <w:tcW w:w="365" w:type="dxa"/>
            <w:vMerge/>
          </w:tcPr>
          <w:p w:rsidR="007D0304" w:rsidRDefault="007D0304" w:rsidP="00C23F8C">
            <w:pPr>
              <w:widowControl w:val="0"/>
              <w:autoSpaceDE w:val="0"/>
              <w:autoSpaceDN w:val="0"/>
              <w:adjustRightInd w:val="0"/>
            </w:pPr>
          </w:p>
        </w:tc>
        <w:tc>
          <w:tcPr>
            <w:tcW w:w="1531" w:type="dxa"/>
            <w:tcBorders>
              <w:top w:val="single" w:sz="4" w:space="0" w:color="auto"/>
            </w:tcBorders>
          </w:tcPr>
          <w:p w:rsidR="007D0304" w:rsidRPr="006870FC" w:rsidRDefault="007D0304" w:rsidP="00C23F8C">
            <w:pPr>
              <w:widowControl w:val="0"/>
              <w:autoSpaceDE w:val="0"/>
              <w:autoSpaceDN w:val="0"/>
              <w:adjustRightInd w:val="0"/>
              <w:ind w:left="-119" w:right="-95"/>
              <w:jc w:val="center"/>
              <w:rPr>
                <w:vertAlign w:val="superscript"/>
              </w:rPr>
            </w:pPr>
            <w:r w:rsidRPr="00525CF4">
              <w:rPr>
                <w:i/>
              </w:rPr>
              <w:t>S</w:t>
            </w:r>
            <w:r>
              <w:t xml:space="preserve"> x 10</w:t>
            </w:r>
            <w:r>
              <w:rPr>
                <w:vertAlign w:val="superscript"/>
              </w:rPr>
              <w:t>x</w:t>
            </w:r>
          </w:p>
        </w:tc>
      </w:tr>
    </w:tbl>
    <w:p w:rsidR="00525CF4" w:rsidRDefault="00525CF4" w:rsidP="001C01A4">
      <w:pPr>
        <w:widowControl w:val="0"/>
        <w:autoSpaceDE w:val="0"/>
        <w:autoSpaceDN w:val="0"/>
        <w:adjustRightInd w:val="0"/>
      </w:pPr>
    </w:p>
    <w:p w:rsidR="00525CF4" w:rsidRDefault="00525CF4" w:rsidP="00525CF4">
      <w:pPr>
        <w:widowControl w:val="0"/>
        <w:autoSpaceDE w:val="0"/>
        <w:autoSpaceDN w:val="0"/>
        <w:adjustRightInd w:val="0"/>
        <w:ind w:left="2160" w:hanging="720"/>
      </w:pPr>
      <w:r>
        <w:tab/>
        <w:t>where:</w:t>
      </w:r>
    </w:p>
    <w:p w:rsidR="00525CF4" w:rsidRDefault="00525CF4" w:rsidP="001C01A4">
      <w:pPr>
        <w:widowControl w:val="0"/>
        <w:autoSpaceDE w:val="0"/>
        <w:autoSpaceDN w:val="0"/>
        <w:adjustRightInd w:val="0"/>
      </w:pPr>
    </w:p>
    <w:tbl>
      <w:tblPr>
        <w:tblW w:w="0" w:type="auto"/>
        <w:tblInd w:w="4140" w:type="dxa"/>
        <w:tblLook w:val="0000" w:firstRow="0" w:lastRow="0" w:firstColumn="0" w:lastColumn="0" w:noHBand="0" w:noVBand="0"/>
      </w:tblPr>
      <w:tblGrid>
        <w:gridCol w:w="582"/>
        <w:gridCol w:w="236"/>
        <w:gridCol w:w="2431"/>
      </w:tblGrid>
      <w:tr w:rsidR="00525CF4" w:rsidTr="001716F2">
        <w:tc>
          <w:tcPr>
            <w:tcW w:w="582" w:type="dxa"/>
            <w:vMerge w:val="restart"/>
            <w:vAlign w:val="center"/>
          </w:tcPr>
          <w:p w:rsidR="00525CF4" w:rsidRDefault="00525CF4" w:rsidP="002F4A9C">
            <w:pPr>
              <w:widowControl w:val="0"/>
              <w:autoSpaceDE w:val="0"/>
              <w:autoSpaceDN w:val="0"/>
              <w:adjustRightInd w:val="0"/>
              <w:ind w:left="-117" w:right="-117"/>
              <w:jc w:val="center"/>
            </w:pPr>
            <w:r>
              <w:t>x</w:t>
            </w:r>
          </w:p>
        </w:tc>
        <w:tc>
          <w:tcPr>
            <w:tcW w:w="236" w:type="dxa"/>
            <w:vMerge w:val="restart"/>
            <w:vAlign w:val="center"/>
          </w:tcPr>
          <w:p w:rsidR="00525CF4" w:rsidRDefault="00525CF4" w:rsidP="006039A6">
            <w:pPr>
              <w:widowControl w:val="0"/>
              <w:autoSpaceDE w:val="0"/>
              <w:autoSpaceDN w:val="0"/>
              <w:adjustRightInd w:val="0"/>
              <w:ind w:left="-126" w:right="-106"/>
              <w:jc w:val="center"/>
            </w:pPr>
            <w:r>
              <w:t>=</w:t>
            </w:r>
          </w:p>
        </w:tc>
        <w:tc>
          <w:tcPr>
            <w:tcW w:w="2431" w:type="dxa"/>
            <w:tcBorders>
              <w:bottom w:val="single" w:sz="4" w:space="0" w:color="auto"/>
            </w:tcBorders>
          </w:tcPr>
          <w:p w:rsidR="00525CF4" w:rsidRPr="006870FC" w:rsidRDefault="00525CF4" w:rsidP="002F4A9C">
            <w:pPr>
              <w:widowControl w:val="0"/>
              <w:autoSpaceDE w:val="0"/>
              <w:autoSpaceDN w:val="0"/>
              <w:adjustRightInd w:val="0"/>
              <w:ind w:left="-110" w:right="-105"/>
              <w:jc w:val="center"/>
            </w:pPr>
            <w:r w:rsidRPr="006870FC">
              <w:t xml:space="preserve">4 </w:t>
            </w:r>
            <w:r>
              <w:t>π</w:t>
            </w:r>
            <w:r w:rsidRPr="006870FC">
              <w:t xml:space="preserve"> </w:t>
            </w:r>
            <w:r w:rsidRPr="00525CF4">
              <w:rPr>
                <w:iCs/>
              </w:rPr>
              <w:t>KH</w:t>
            </w:r>
            <w:r w:rsidR="006039A6">
              <w:rPr>
                <w:iCs/>
              </w:rPr>
              <w:t xml:space="preserve"> </w:t>
            </w:r>
            <w:r w:rsidRPr="00525CF4">
              <w:t>(</w:t>
            </w:r>
            <w:r w:rsidRPr="00525CF4">
              <w:rPr>
                <w:iCs/>
              </w:rPr>
              <w:t>h</w:t>
            </w:r>
            <w:r w:rsidRPr="00525CF4">
              <w:rPr>
                <w:iCs/>
                <w:vertAlign w:val="subscript"/>
              </w:rPr>
              <w:t xml:space="preserve">w </w:t>
            </w:r>
            <w:r w:rsidRPr="00525CF4">
              <w:rPr>
                <w:iCs/>
              </w:rPr>
              <w:t>-</w:t>
            </w:r>
            <w:r w:rsidRPr="00525CF4">
              <w:rPr>
                <w:iCs/>
                <w:vertAlign w:val="subscript"/>
              </w:rPr>
              <w:t xml:space="preserve"> </w:t>
            </w:r>
            <w:r w:rsidRPr="00525CF4">
              <w:rPr>
                <w:iCs/>
              </w:rPr>
              <w:t>h</w:t>
            </w:r>
            <w:r w:rsidRPr="00525CF4">
              <w:rPr>
                <w:iCs/>
                <w:vertAlign w:val="subscript"/>
              </w:rPr>
              <w:t>bo</w:t>
            </w:r>
            <w:r w:rsidRPr="00525CF4">
              <w:rPr>
                <w:iCs/>
              </w:rPr>
              <w:t xml:space="preserve"> </w:t>
            </w:r>
            <w:r w:rsidRPr="00525CF4">
              <w:t>x</w:t>
            </w:r>
            <w:r w:rsidRPr="00525CF4">
              <w:rPr>
                <w:iCs/>
              </w:rPr>
              <w:t xml:space="preserve"> S</w:t>
            </w:r>
            <w:r w:rsidRPr="00525CF4">
              <w:rPr>
                <w:iCs/>
                <w:vertAlign w:val="subscript"/>
              </w:rPr>
              <w:t>b</w:t>
            </w:r>
            <w:r w:rsidRPr="00525CF4">
              <w:rPr>
                <w:iCs/>
              </w:rPr>
              <w:t>G</w:t>
            </w:r>
            <w:r w:rsidRPr="00525CF4">
              <w:rPr>
                <w:iCs/>
                <w:vertAlign w:val="subscript"/>
              </w:rPr>
              <w:t>b</w:t>
            </w:r>
            <w:r w:rsidRPr="00525CF4">
              <w:t>)</w:t>
            </w:r>
          </w:p>
        </w:tc>
      </w:tr>
      <w:tr w:rsidR="00525CF4" w:rsidTr="001716F2">
        <w:tc>
          <w:tcPr>
            <w:tcW w:w="582" w:type="dxa"/>
            <w:vMerge/>
          </w:tcPr>
          <w:p w:rsidR="00525CF4" w:rsidRDefault="00525CF4" w:rsidP="002F4A9C">
            <w:pPr>
              <w:widowControl w:val="0"/>
              <w:autoSpaceDE w:val="0"/>
              <w:autoSpaceDN w:val="0"/>
              <w:adjustRightInd w:val="0"/>
              <w:ind w:left="-117" w:right="-117"/>
              <w:jc w:val="center"/>
            </w:pPr>
          </w:p>
        </w:tc>
        <w:tc>
          <w:tcPr>
            <w:tcW w:w="236" w:type="dxa"/>
            <w:vMerge/>
          </w:tcPr>
          <w:p w:rsidR="00525CF4" w:rsidRDefault="00525CF4" w:rsidP="006039A6">
            <w:pPr>
              <w:widowControl w:val="0"/>
              <w:autoSpaceDE w:val="0"/>
              <w:autoSpaceDN w:val="0"/>
              <w:adjustRightInd w:val="0"/>
              <w:ind w:left="-126" w:right="-106"/>
            </w:pPr>
          </w:p>
        </w:tc>
        <w:tc>
          <w:tcPr>
            <w:tcW w:w="2431" w:type="dxa"/>
            <w:tcBorders>
              <w:top w:val="single" w:sz="4" w:space="0" w:color="auto"/>
            </w:tcBorders>
          </w:tcPr>
          <w:p w:rsidR="00525CF4" w:rsidRDefault="00525CF4" w:rsidP="002F4A9C">
            <w:pPr>
              <w:widowControl w:val="0"/>
              <w:autoSpaceDE w:val="0"/>
              <w:autoSpaceDN w:val="0"/>
              <w:adjustRightInd w:val="0"/>
              <w:ind w:left="-110" w:right="-105"/>
              <w:jc w:val="center"/>
            </w:pPr>
            <w:r>
              <w:t xml:space="preserve">2.3 </w:t>
            </w:r>
            <w:r w:rsidRPr="00F57DC3">
              <w:rPr>
                <w:i/>
                <w:iCs/>
              </w:rPr>
              <w:t>Q</w:t>
            </w:r>
          </w:p>
        </w:tc>
      </w:tr>
    </w:tbl>
    <w:p w:rsidR="00BD6F1A" w:rsidRDefault="00BD6F1A" w:rsidP="001C01A4">
      <w:pPr>
        <w:widowControl w:val="0"/>
        <w:autoSpaceDE w:val="0"/>
        <w:autoSpaceDN w:val="0"/>
        <w:adjustRightInd w:val="0"/>
      </w:pPr>
    </w:p>
    <w:tbl>
      <w:tblPr>
        <w:tblW w:w="0" w:type="auto"/>
        <w:tblInd w:w="2268" w:type="dxa"/>
        <w:tblLook w:val="0000" w:firstRow="0" w:lastRow="0" w:firstColumn="0" w:lastColumn="0" w:noHBand="0" w:noVBand="0"/>
      </w:tblPr>
      <w:tblGrid>
        <w:gridCol w:w="564"/>
        <w:gridCol w:w="243"/>
        <w:gridCol w:w="6210"/>
      </w:tblGrid>
      <w:tr w:rsidR="00497CFC" w:rsidTr="001716F2">
        <w:tc>
          <w:tcPr>
            <w:tcW w:w="564" w:type="dxa"/>
          </w:tcPr>
          <w:p w:rsidR="00497CFC" w:rsidRDefault="00497CFC" w:rsidP="00A76999">
            <w:pPr>
              <w:widowControl w:val="0"/>
              <w:autoSpaceDE w:val="0"/>
              <w:autoSpaceDN w:val="0"/>
              <w:adjustRightInd w:val="0"/>
              <w:ind w:left="-114" w:right="-111"/>
              <w:jc w:val="center"/>
            </w:pPr>
            <w:r>
              <w:t>r</w:t>
            </w:r>
          </w:p>
        </w:tc>
        <w:tc>
          <w:tcPr>
            <w:tcW w:w="243" w:type="dxa"/>
          </w:tcPr>
          <w:p w:rsidR="00497CFC" w:rsidRDefault="00497CFC" w:rsidP="00A76999">
            <w:pPr>
              <w:widowControl w:val="0"/>
              <w:autoSpaceDE w:val="0"/>
              <w:autoSpaceDN w:val="0"/>
              <w:adjustRightInd w:val="0"/>
              <w:ind w:left="-105" w:right="-108"/>
              <w:jc w:val="center"/>
            </w:pPr>
            <w:r>
              <w:t>=</w:t>
            </w:r>
          </w:p>
        </w:tc>
        <w:tc>
          <w:tcPr>
            <w:tcW w:w="6210" w:type="dxa"/>
          </w:tcPr>
          <w:p w:rsidR="00497CFC" w:rsidRDefault="00497CFC" w:rsidP="00BD6F1A">
            <w:pPr>
              <w:widowControl w:val="0"/>
              <w:autoSpaceDE w:val="0"/>
              <w:autoSpaceDN w:val="0"/>
              <w:adjustRightInd w:val="0"/>
            </w:pPr>
            <w:r>
              <w:t>Radius of endangering influence from injection well (length)</w:t>
            </w:r>
          </w:p>
        </w:tc>
      </w:tr>
      <w:tr w:rsidR="00497CFC" w:rsidTr="001716F2">
        <w:tc>
          <w:tcPr>
            <w:tcW w:w="564" w:type="dxa"/>
          </w:tcPr>
          <w:p w:rsidR="00497CFC" w:rsidRDefault="00497CFC" w:rsidP="00A76999">
            <w:pPr>
              <w:widowControl w:val="0"/>
              <w:autoSpaceDE w:val="0"/>
              <w:autoSpaceDN w:val="0"/>
              <w:adjustRightInd w:val="0"/>
              <w:ind w:left="-114" w:right="-111"/>
              <w:jc w:val="center"/>
            </w:pPr>
            <w:r>
              <w:t>k</w:t>
            </w:r>
          </w:p>
        </w:tc>
        <w:tc>
          <w:tcPr>
            <w:tcW w:w="243" w:type="dxa"/>
          </w:tcPr>
          <w:p w:rsidR="00497CFC" w:rsidRDefault="00497CFC" w:rsidP="00A76999">
            <w:pPr>
              <w:widowControl w:val="0"/>
              <w:autoSpaceDE w:val="0"/>
              <w:autoSpaceDN w:val="0"/>
              <w:adjustRightInd w:val="0"/>
              <w:ind w:left="-105" w:right="-108"/>
              <w:jc w:val="center"/>
            </w:pPr>
            <w:r>
              <w:t>=</w:t>
            </w:r>
          </w:p>
        </w:tc>
        <w:tc>
          <w:tcPr>
            <w:tcW w:w="6210" w:type="dxa"/>
          </w:tcPr>
          <w:p w:rsidR="00497CFC" w:rsidRDefault="00497CFC" w:rsidP="00BD6F1A">
            <w:pPr>
              <w:widowControl w:val="0"/>
              <w:autoSpaceDE w:val="0"/>
              <w:autoSpaceDN w:val="0"/>
              <w:adjustRightInd w:val="0"/>
            </w:pPr>
            <w:r>
              <w:t>Hydraulic conductivity of the injection zone (length/time)</w:t>
            </w:r>
          </w:p>
        </w:tc>
      </w:tr>
      <w:tr w:rsidR="00497CFC" w:rsidTr="001716F2">
        <w:tc>
          <w:tcPr>
            <w:tcW w:w="564" w:type="dxa"/>
          </w:tcPr>
          <w:p w:rsidR="00497CFC" w:rsidRDefault="00497CFC" w:rsidP="00A76999">
            <w:pPr>
              <w:widowControl w:val="0"/>
              <w:autoSpaceDE w:val="0"/>
              <w:autoSpaceDN w:val="0"/>
              <w:adjustRightInd w:val="0"/>
              <w:ind w:left="-114" w:right="-111"/>
              <w:jc w:val="center"/>
            </w:pPr>
            <w:r>
              <w:t>H</w:t>
            </w:r>
          </w:p>
        </w:tc>
        <w:tc>
          <w:tcPr>
            <w:tcW w:w="243" w:type="dxa"/>
          </w:tcPr>
          <w:p w:rsidR="00497CFC" w:rsidRDefault="00497CFC" w:rsidP="00A76999">
            <w:pPr>
              <w:widowControl w:val="0"/>
              <w:autoSpaceDE w:val="0"/>
              <w:autoSpaceDN w:val="0"/>
              <w:adjustRightInd w:val="0"/>
              <w:ind w:left="-105" w:right="-108"/>
              <w:jc w:val="center"/>
            </w:pPr>
            <w:r>
              <w:t>=</w:t>
            </w:r>
          </w:p>
        </w:tc>
        <w:tc>
          <w:tcPr>
            <w:tcW w:w="6210" w:type="dxa"/>
          </w:tcPr>
          <w:p w:rsidR="00497CFC" w:rsidRDefault="00497CFC" w:rsidP="00BD6F1A">
            <w:pPr>
              <w:widowControl w:val="0"/>
              <w:autoSpaceDE w:val="0"/>
              <w:autoSpaceDN w:val="0"/>
              <w:adjustRightInd w:val="0"/>
            </w:pPr>
            <w:r>
              <w:t>Thickness of the injection zone (length)</w:t>
            </w:r>
          </w:p>
        </w:tc>
      </w:tr>
      <w:tr w:rsidR="00497CFC" w:rsidTr="001716F2">
        <w:tc>
          <w:tcPr>
            <w:tcW w:w="564" w:type="dxa"/>
          </w:tcPr>
          <w:p w:rsidR="00497CFC" w:rsidRDefault="00497CFC" w:rsidP="00A76999">
            <w:pPr>
              <w:widowControl w:val="0"/>
              <w:autoSpaceDE w:val="0"/>
              <w:autoSpaceDN w:val="0"/>
              <w:adjustRightInd w:val="0"/>
              <w:ind w:left="-114" w:right="-111"/>
              <w:jc w:val="center"/>
            </w:pPr>
            <w:r>
              <w:t>t</w:t>
            </w:r>
          </w:p>
        </w:tc>
        <w:tc>
          <w:tcPr>
            <w:tcW w:w="243" w:type="dxa"/>
          </w:tcPr>
          <w:p w:rsidR="00497CFC" w:rsidRDefault="00497CFC" w:rsidP="00A76999">
            <w:pPr>
              <w:widowControl w:val="0"/>
              <w:autoSpaceDE w:val="0"/>
              <w:autoSpaceDN w:val="0"/>
              <w:adjustRightInd w:val="0"/>
              <w:ind w:left="-105" w:right="-108"/>
              <w:jc w:val="center"/>
            </w:pPr>
            <w:r>
              <w:t>=</w:t>
            </w:r>
          </w:p>
        </w:tc>
        <w:tc>
          <w:tcPr>
            <w:tcW w:w="6210" w:type="dxa"/>
          </w:tcPr>
          <w:p w:rsidR="00497CFC" w:rsidRDefault="00497CFC" w:rsidP="00BD6F1A">
            <w:pPr>
              <w:widowControl w:val="0"/>
              <w:autoSpaceDE w:val="0"/>
              <w:autoSpaceDN w:val="0"/>
              <w:adjustRightInd w:val="0"/>
            </w:pPr>
            <w:r>
              <w:t>Time of injection (time)</w:t>
            </w:r>
          </w:p>
        </w:tc>
      </w:tr>
      <w:tr w:rsidR="00497CFC" w:rsidTr="001716F2">
        <w:tc>
          <w:tcPr>
            <w:tcW w:w="564" w:type="dxa"/>
          </w:tcPr>
          <w:p w:rsidR="00497CFC" w:rsidRDefault="00497CFC" w:rsidP="00A76999">
            <w:pPr>
              <w:widowControl w:val="0"/>
              <w:autoSpaceDE w:val="0"/>
              <w:autoSpaceDN w:val="0"/>
              <w:adjustRightInd w:val="0"/>
              <w:ind w:left="-114" w:right="-111"/>
              <w:jc w:val="center"/>
            </w:pPr>
            <w:r>
              <w:t>S</w:t>
            </w:r>
          </w:p>
        </w:tc>
        <w:tc>
          <w:tcPr>
            <w:tcW w:w="243" w:type="dxa"/>
          </w:tcPr>
          <w:p w:rsidR="00497CFC" w:rsidRDefault="00497CFC" w:rsidP="00A76999">
            <w:pPr>
              <w:widowControl w:val="0"/>
              <w:autoSpaceDE w:val="0"/>
              <w:autoSpaceDN w:val="0"/>
              <w:adjustRightInd w:val="0"/>
              <w:ind w:left="-105" w:right="-108"/>
              <w:jc w:val="center"/>
            </w:pPr>
            <w:r>
              <w:t>=</w:t>
            </w:r>
          </w:p>
        </w:tc>
        <w:tc>
          <w:tcPr>
            <w:tcW w:w="6210" w:type="dxa"/>
          </w:tcPr>
          <w:p w:rsidR="00497CFC" w:rsidRDefault="00497CFC" w:rsidP="00BD6F1A">
            <w:pPr>
              <w:widowControl w:val="0"/>
              <w:autoSpaceDE w:val="0"/>
              <w:autoSpaceDN w:val="0"/>
              <w:adjustRightInd w:val="0"/>
            </w:pPr>
            <w:r>
              <w:t>Storage coefficient (dimensionless)</w:t>
            </w:r>
          </w:p>
        </w:tc>
      </w:tr>
      <w:tr w:rsidR="00497CFC" w:rsidTr="001716F2">
        <w:tc>
          <w:tcPr>
            <w:tcW w:w="564" w:type="dxa"/>
          </w:tcPr>
          <w:p w:rsidR="00497CFC" w:rsidRDefault="00497CFC" w:rsidP="00A76999">
            <w:pPr>
              <w:widowControl w:val="0"/>
              <w:autoSpaceDE w:val="0"/>
              <w:autoSpaceDN w:val="0"/>
              <w:adjustRightInd w:val="0"/>
              <w:ind w:left="-114" w:right="-111"/>
              <w:jc w:val="center"/>
            </w:pPr>
            <w:r>
              <w:lastRenderedPageBreak/>
              <w:t>Q</w:t>
            </w:r>
          </w:p>
        </w:tc>
        <w:tc>
          <w:tcPr>
            <w:tcW w:w="243" w:type="dxa"/>
          </w:tcPr>
          <w:p w:rsidR="00497CFC" w:rsidRDefault="00497CFC" w:rsidP="00A76999">
            <w:pPr>
              <w:widowControl w:val="0"/>
              <w:autoSpaceDE w:val="0"/>
              <w:autoSpaceDN w:val="0"/>
              <w:adjustRightInd w:val="0"/>
              <w:ind w:left="-105" w:right="-108"/>
              <w:jc w:val="center"/>
            </w:pPr>
            <w:r>
              <w:t>=</w:t>
            </w:r>
          </w:p>
        </w:tc>
        <w:tc>
          <w:tcPr>
            <w:tcW w:w="6210" w:type="dxa"/>
          </w:tcPr>
          <w:p w:rsidR="00497CFC" w:rsidRDefault="00497CFC" w:rsidP="00BD6F1A">
            <w:pPr>
              <w:widowControl w:val="0"/>
              <w:autoSpaceDE w:val="0"/>
              <w:autoSpaceDN w:val="0"/>
              <w:adjustRightInd w:val="0"/>
            </w:pPr>
            <w:r>
              <w:t>Injection rate (volume/time)</w:t>
            </w:r>
          </w:p>
        </w:tc>
      </w:tr>
      <w:tr w:rsidR="00497CFC" w:rsidTr="001716F2">
        <w:tc>
          <w:tcPr>
            <w:tcW w:w="564" w:type="dxa"/>
          </w:tcPr>
          <w:p w:rsidR="00497CFC" w:rsidRPr="00497CFC" w:rsidRDefault="00497CFC" w:rsidP="00A76999">
            <w:pPr>
              <w:widowControl w:val="0"/>
              <w:autoSpaceDE w:val="0"/>
              <w:autoSpaceDN w:val="0"/>
              <w:adjustRightInd w:val="0"/>
              <w:ind w:left="-114" w:right="-111"/>
              <w:jc w:val="center"/>
              <w:rPr>
                <w:vertAlign w:val="subscript"/>
              </w:rPr>
            </w:pPr>
            <w:r>
              <w:t>h</w:t>
            </w:r>
            <w:r>
              <w:rPr>
                <w:vertAlign w:val="subscript"/>
              </w:rPr>
              <w:t>bo</w:t>
            </w:r>
          </w:p>
        </w:tc>
        <w:tc>
          <w:tcPr>
            <w:tcW w:w="243" w:type="dxa"/>
          </w:tcPr>
          <w:p w:rsidR="00497CFC" w:rsidRDefault="00497CFC" w:rsidP="00A76999">
            <w:pPr>
              <w:widowControl w:val="0"/>
              <w:autoSpaceDE w:val="0"/>
              <w:autoSpaceDN w:val="0"/>
              <w:adjustRightInd w:val="0"/>
              <w:ind w:left="-105" w:right="-108"/>
              <w:jc w:val="center"/>
            </w:pPr>
            <w:r>
              <w:t>=</w:t>
            </w:r>
          </w:p>
        </w:tc>
        <w:tc>
          <w:tcPr>
            <w:tcW w:w="6210" w:type="dxa"/>
          </w:tcPr>
          <w:p w:rsidR="00497CFC" w:rsidRDefault="00F57DC3" w:rsidP="00BD6F1A">
            <w:pPr>
              <w:widowControl w:val="0"/>
              <w:autoSpaceDE w:val="0"/>
              <w:autoSpaceDN w:val="0"/>
              <w:adjustRightInd w:val="0"/>
            </w:pPr>
            <w:r>
              <w:t xml:space="preserve">Observed </w:t>
            </w:r>
            <w:r w:rsidR="00497CFC">
              <w:t>original hydrostatic head of injection zone (length) measured from the base of the lowermost underground source of drinking water</w:t>
            </w:r>
          </w:p>
        </w:tc>
      </w:tr>
      <w:tr w:rsidR="00497CFC" w:rsidTr="001716F2">
        <w:tc>
          <w:tcPr>
            <w:tcW w:w="564" w:type="dxa"/>
          </w:tcPr>
          <w:p w:rsidR="00497CFC" w:rsidRPr="00497CFC" w:rsidRDefault="00497CFC" w:rsidP="00A76999">
            <w:pPr>
              <w:widowControl w:val="0"/>
              <w:autoSpaceDE w:val="0"/>
              <w:autoSpaceDN w:val="0"/>
              <w:adjustRightInd w:val="0"/>
              <w:ind w:left="-114" w:right="-111"/>
              <w:jc w:val="center"/>
              <w:rPr>
                <w:vertAlign w:val="subscript"/>
              </w:rPr>
            </w:pPr>
            <w:r>
              <w:t>h</w:t>
            </w:r>
            <w:r>
              <w:rPr>
                <w:vertAlign w:val="subscript"/>
              </w:rPr>
              <w:t>w</w:t>
            </w:r>
          </w:p>
        </w:tc>
        <w:tc>
          <w:tcPr>
            <w:tcW w:w="243" w:type="dxa"/>
          </w:tcPr>
          <w:p w:rsidR="00497CFC" w:rsidRDefault="00497CFC" w:rsidP="00A76999">
            <w:pPr>
              <w:widowControl w:val="0"/>
              <w:autoSpaceDE w:val="0"/>
              <w:autoSpaceDN w:val="0"/>
              <w:adjustRightInd w:val="0"/>
              <w:ind w:left="-105" w:right="-108"/>
              <w:jc w:val="center"/>
            </w:pPr>
            <w:r>
              <w:t>=</w:t>
            </w:r>
          </w:p>
        </w:tc>
        <w:tc>
          <w:tcPr>
            <w:tcW w:w="6210" w:type="dxa"/>
          </w:tcPr>
          <w:p w:rsidR="00497CFC" w:rsidRDefault="00F57DC3" w:rsidP="00BD6F1A">
            <w:pPr>
              <w:widowControl w:val="0"/>
              <w:autoSpaceDE w:val="0"/>
              <w:autoSpaceDN w:val="0"/>
              <w:adjustRightInd w:val="0"/>
            </w:pPr>
            <w:r>
              <w:t xml:space="preserve">Hydrostatic </w:t>
            </w:r>
            <w:r w:rsidR="00497CFC">
              <w:t>head of underground source of drinking water (length) measured from the base of the lowest underground source of drinking water</w:t>
            </w:r>
          </w:p>
        </w:tc>
      </w:tr>
      <w:tr w:rsidR="00497CFC" w:rsidTr="001716F2">
        <w:tc>
          <w:tcPr>
            <w:tcW w:w="564" w:type="dxa"/>
          </w:tcPr>
          <w:p w:rsidR="00497CFC" w:rsidRPr="00497CFC" w:rsidRDefault="00497CFC" w:rsidP="00A76999">
            <w:pPr>
              <w:widowControl w:val="0"/>
              <w:autoSpaceDE w:val="0"/>
              <w:autoSpaceDN w:val="0"/>
              <w:adjustRightInd w:val="0"/>
              <w:ind w:left="-114" w:right="-111"/>
              <w:jc w:val="center"/>
              <w:rPr>
                <w:vertAlign w:val="subscript"/>
              </w:rPr>
            </w:pPr>
            <w:r>
              <w:t>S</w:t>
            </w:r>
            <w:r>
              <w:rPr>
                <w:vertAlign w:val="subscript"/>
              </w:rPr>
              <w:t>p</w:t>
            </w:r>
            <w:r>
              <w:t>G</w:t>
            </w:r>
            <w:r>
              <w:rPr>
                <w:vertAlign w:val="subscript"/>
              </w:rPr>
              <w:t>b</w:t>
            </w:r>
          </w:p>
        </w:tc>
        <w:tc>
          <w:tcPr>
            <w:tcW w:w="243" w:type="dxa"/>
          </w:tcPr>
          <w:p w:rsidR="00497CFC" w:rsidRDefault="00497CFC" w:rsidP="00A76999">
            <w:pPr>
              <w:widowControl w:val="0"/>
              <w:autoSpaceDE w:val="0"/>
              <w:autoSpaceDN w:val="0"/>
              <w:adjustRightInd w:val="0"/>
              <w:ind w:left="-105" w:right="-108"/>
              <w:jc w:val="center"/>
            </w:pPr>
            <w:r>
              <w:t>=</w:t>
            </w:r>
          </w:p>
        </w:tc>
        <w:tc>
          <w:tcPr>
            <w:tcW w:w="6210" w:type="dxa"/>
          </w:tcPr>
          <w:p w:rsidR="00497CFC" w:rsidRDefault="00497CFC" w:rsidP="00497CFC">
            <w:pPr>
              <w:widowControl w:val="0"/>
              <w:autoSpaceDE w:val="0"/>
              <w:autoSpaceDN w:val="0"/>
              <w:adjustRightInd w:val="0"/>
              <w:jc w:val="both"/>
            </w:pPr>
            <w:r>
              <w:t xml:space="preserve">Specific gravity of fluid in the </w:t>
            </w:r>
            <w:r w:rsidR="003E722A">
              <w:t>injection</w:t>
            </w:r>
            <w:r>
              <w:t xml:space="preserve"> zone (dimensionless)</w:t>
            </w:r>
          </w:p>
        </w:tc>
      </w:tr>
      <w:tr w:rsidR="00497CFC" w:rsidTr="001716F2">
        <w:tc>
          <w:tcPr>
            <w:tcW w:w="564" w:type="dxa"/>
          </w:tcPr>
          <w:p w:rsidR="00497CFC" w:rsidRDefault="003E722A" w:rsidP="003E722A">
            <w:pPr>
              <w:widowControl w:val="0"/>
              <w:autoSpaceDE w:val="0"/>
              <w:autoSpaceDN w:val="0"/>
              <w:adjustRightInd w:val="0"/>
              <w:ind w:left="-114" w:right="-111"/>
              <w:jc w:val="center"/>
            </w:pPr>
            <w:r>
              <w:t>π</w:t>
            </w:r>
          </w:p>
        </w:tc>
        <w:tc>
          <w:tcPr>
            <w:tcW w:w="243" w:type="dxa"/>
          </w:tcPr>
          <w:p w:rsidR="00497CFC" w:rsidRDefault="00497CFC" w:rsidP="00A76999">
            <w:pPr>
              <w:widowControl w:val="0"/>
              <w:autoSpaceDE w:val="0"/>
              <w:autoSpaceDN w:val="0"/>
              <w:adjustRightInd w:val="0"/>
              <w:ind w:left="-105" w:right="-108"/>
              <w:jc w:val="center"/>
            </w:pPr>
            <w:r>
              <w:t>=</w:t>
            </w:r>
          </w:p>
        </w:tc>
        <w:tc>
          <w:tcPr>
            <w:tcW w:w="6210" w:type="dxa"/>
          </w:tcPr>
          <w:p w:rsidR="00497CFC" w:rsidRPr="00497CFC" w:rsidRDefault="00497CFC" w:rsidP="0032583B">
            <w:pPr>
              <w:widowControl w:val="0"/>
              <w:autoSpaceDE w:val="0"/>
              <w:autoSpaceDN w:val="0"/>
              <w:adjustRightInd w:val="0"/>
              <w:rPr>
                <w:b/>
                <w:bCs/>
              </w:rPr>
            </w:pPr>
            <w:r>
              <w:t>3.14159 (dimensionless)</w:t>
            </w:r>
          </w:p>
        </w:tc>
      </w:tr>
    </w:tbl>
    <w:p w:rsidR="00497CFC" w:rsidRDefault="00497CFC" w:rsidP="001C01A4">
      <w:pPr>
        <w:widowControl w:val="0"/>
        <w:autoSpaceDE w:val="0"/>
        <w:autoSpaceDN w:val="0"/>
        <w:adjustRightInd w:val="0"/>
      </w:pPr>
    </w:p>
    <w:p w:rsidR="007957A1" w:rsidRDefault="00CA69A8" w:rsidP="007957A1">
      <w:pPr>
        <w:widowControl w:val="0"/>
        <w:autoSpaceDE w:val="0"/>
        <w:autoSpaceDN w:val="0"/>
        <w:adjustRightInd w:val="0"/>
        <w:ind w:left="2160" w:hanging="720"/>
      </w:pPr>
      <w:r>
        <w:t>3</w:t>
      </w:r>
      <w:r w:rsidR="007957A1">
        <w:t>)</w:t>
      </w:r>
      <w:r w:rsidR="007957A1">
        <w:tab/>
        <w:t xml:space="preserve">The above equation is based on the following assumptions: </w:t>
      </w:r>
    </w:p>
    <w:p w:rsidR="00480A55" w:rsidRDefault="00480A55" w:rsidP="001C01A4">
      <w:pPr>
        <w:widowControl w:val="0"/>
        <w:autoSpaceDE w:val="0"/>
        <w:autoSpaceDN w:val="0"/>
        <w:adjustRightInd w:val="0"/>
      </w:pPr>
    </w:p>
    <w:p w:rsidR="007957A1" w:rsidRDefault="007957A1" w:rsidP="007957A1">
      <w:pPr>
        <w:widowControl w:val="0"/>
        <w:autoSpaceDE w:val="0"/>
        <w:autoSpaceDN w:val="0"/>
        <w:adjustRightInd w:val="0"/>
        <w:ind w:left="2880" w:hanging="720"/>
      </w:pPr>
      <w:r>
        <w:t>A)</w:t>
      </w:r>
      <w:r>
        <w:tab/>
        <w:t xml:space="preserve">The injection zone is homogenous and isotropic; </w:t>
      </w:r>
    </w:p>
    <w:p w:rsidR="00480A55" w:rsidRDefault="00480A55" w:rsidP="001C01A4">
      <w:pPr>
        <w:widowControl w:val="0"/>
        <w:autoSpaceDE w:val="0"/>
        <w:autoSpaceDN w:val="0"/>
        <w:adjustRightInd w:val="0"/>
      </w:pPr>
    </w:p>
    <w:p w:rsidR="007957A1" w:rsidRDefault="007957A1" w:rsidP="007957A1">
      <w:pPr>
        <w:widowControl w:val="0"/>
        <w:autoSpaceDE w:val="0"/>
        <w:autoSpaceDN w:val="0"/>
        <w:adjustRightInd w:val="0"/>
        <w:ind w:left="2880" w:hanging="720"/>
      </w:pPr>
      <w:r>
        <w:t>B)</w:t>
      </w:r>
      <w:r>
        <w:tab/>
        <w:t xml:space="preserve">The injection zone has infinite area extent; </w:t>
      </w:r>
    </w:p>
    <w:p w:rsidR="00480A55" w:rsidRDefault="00480A55" w:rsidP="001C01A4">
      <w:pPr>
        <w:widowControl w:val="0"/>
        <w:autoSpaceDE w:val="0"/>
        <w:autoSpaceDN w:val="0"/>
        <w:adjustRightInd w:val="0"/>
      </w:pPr>
    </w:p>
    <w:p w:rsidR="007957A1" w:rsidRDefault="007957A1" w:rsidP="007957A1">
      <w:pPr>
        <w:widowControl w:val="0"/>
        <w:autoSpaceDE w:val="0"/>
        <w:autoSpaceDN w:val="0"/>
        <w:adjustRightInd w:val="0"/>
        <w:ind w:left="2880" w:hanging="720"/>
      </w:pPr>
      <w:r>
        <w:t>C)</w:t>
      </w:r>
      <w:r>
        <w:tab/>
        <w:t xml:space="preserve">The injection well penetrates the entire thickness of the injection zone; </w:t>
      </w:r>
    </w:p>
    <w:p w:rsidR="00480A55" w:rsidRDefault="00480A55" w:rsidP="001C01A4">
      <w:pPr>
        <w:widowControl w:val="0"/>
        <w:autoSpaceDE w:val="0"/>
        <w:autoSpaceDN w:val="0"/>
        <w:adjustRightInd w:val="0"/>
      </w:pPr>
    </w:p>
    <w:p w:rsidR="007957A1" w:rsidRDefault="007957A1" w:rsidP="007957A1">
      <w:pPr>
        <w:widowControl w:val="0"/>
        <w:autoSpaceDE w:val="0"/>
        <w:autoSpaceDN w:val="0"/>
        <w:adjustRightInd w:val="0"/>
        <w:ind w:left="2880" w:hanging="720"/>
      </w:pPr>
      <w:r>
        <w:t>D)</w:t>
      </w:r>
      <w:r>
        <w:tab/>
        <w:t xml:space="preserve">The well diameter is infinitesimal compared to "r" when injection time is longer than a few minutes; and </w:t>
      </w:r>
    </w:p>
    <w:p w:rsidR="00480A55" w:rsidRDefault="00480A55" w:rsidP="001C01A4">
      <w:pPr>
        <w:widowControl w:val="0"/>
        <w:autoSpaceDE w:val="0"/>
        <w:autoSpaceDN w:val="0"/>
        <w:adjustRightInd w:val="0"/>
      </w:pPr>
    </w:p>
    <w:p w:rsidR="007957A1" w:rsidRDefault="007957A1" w:rsidP="007957A1">
      <w:pPr>
        <w:widowControl w:val="0"/>
        <w:autoSpaceDE w:val="0"/>
        <w:autoSpaceDN w:val="0"/>
        <w:adjustRightInd w:val="0"/>
        <w:ind w:left="2880" w:hanging="720"/>
      </w:pPr>
      <w:r>
        <w:t>E)</w:t>
      </w:r>
      <w:r>
        <w:tab/>
        <w:t xml:space="preserve">The emplacement of fluid into the injection zone creates instantaneous increase in pressure. </w:t>
      </w:r>
    </w:p>
    <w:p w:rsidR="00480A55" w:rsidRDefault="00480A55" w:rsidP="001C01A4">
      <w:pPr>
        <w:widowControl w:val="0"/>
        <w:autoSpaceDE w:val="0"/>
        <w:autoSpaceDN w:val="0"/>
        <w:adjustRightInd w:val="0"/>
      </w:pPr>
    </w:p>
    <w:p w:rsidR="007957A1" w:rsidRDefault="007957A1" w:rsidP="007957A1">
      <w:pPr>
        <w:widowControl w:val="0"/>
        <w:autoSpaceDE w:val="0"/>
        <w:autoSpaceDN w:val="0"/>
        <w:adjustRightInd w:val="0"/>
        <w:ind w:left="1440" w:hanging="720"/>
      </w:pPr>
      <w:r>
        <w:t>b)</w:t>
      </w:r>
      <w:r>
        <w:tab/>
        <w:t xml:space="preserve">Fixed </w:t>
      </w:r>
      <w:r w:rsidR="003B0C74">
        <w:t>Radius</w:t>
      </w:r>
      <w:r>
        <w:t xml:space="preserve"> </w:t>
      </w:r>
    </w:p>
    <w:p w:rsidR="00480A55" w:rsidRDefault="00480A55" w:rsidP="001C01A4">
      <w:pPr>
        <w:widowControl w:val="0"/>
        <w:autoSpaceDE w:val="0"/>
        <w:autoSpaceDN w:val="0"/>
        <w:adjustRightInd w:val="0"/>
      </w:pPr>
    </w:p>
    <w:p w:rsidR="007957A1" w:rsidRDefault="007957A1" w:rsidP="007957A1">
      <w:pPr>
        <w:widowControl w:val="0"/>
        <w:autoSpaceDE w:val="0"/>
        <w:autoSpaceDN w:val="0"/>
        <w:adjustRightInd w:val="0"/>
        <w:ind w:left="2160" w:hanging="720"/>
      </w:pPr>
      <w:r>
        <w:t>1)</w:t>
      </w:r>
      <w:r>
        <w:tab/>
        <w:t xml:space="preserve">In the case of an application for a well permit </w:t>
      </w:r>
      <w:r w:rsidR="009A4FB9">
        <w:t>pursuant to</w:t>
      </w:r>
      <w:r>
        <w:t xml:space="preserve"> 35 Ill. Adm. Code 704.161</w:t>
      </w:r>
      <w:r w:rsidR="009A4FB9">
        <w:t>,</w:t>
      </w:r>
      <w:r>
        <w:t xml:space="preserve"> a fixed radius around the well of not less than 402 meters (</w:t>
      </w:r>
      <w:r w:rsidR="009A4FB9">
        <w:t>one-quarter</w:t>
      </w:r>
      <w:r w:rsidR="00020816">
        <w:t xml:space="preserve"> </w:t>
      </w:r>
      <w:r>
        <w:t xml:space="preserve">mile) may be used. </w:t>
      </w:r>
    </w:p>
    <w:p w:rsidR="00480A55" w:rsidRDefault="00480A55" w:rsidP="001C01A4">
      <w:pPr>
        <w:widowControl w:val="0"/>
        <w:autoSpaceDE w:val="0"/>
        <w:autoSpaceDN w:val="0"/>
        <w:adjustRightInd w:val="0"/>
      </w:pPr>
    </w:p>
    <w:p w:rsidR="007957A1" w:rsidRDefault="007957A1" w:rsidP="007957A1">
      <w:pPr>
        <w:widowControl w:val="0"/>
        <w:autoSpaceDE w:val="0"/>
        <w:autoSpaceDN w:val="0"/>
        <w:adjustRightInd w:val="0"/>
        <w:ind w:left="2160" w:hanging="720"/>
      </w:pPr>
      <w:r>
        <w:t>2)</w:t>
      </w:r>
      <w:r>
        <w:tab/>
        <w:t xml:space="preserve">In the case of an application for an area permit </w:t>
      </w:r>
      <w:r w:rsidR="009A4FB9">
        <w:t>pursuant to</w:t>
      </w:r>
      <w:r>
        <w:t xml:space="preserve"> 35 Ill. Adm. Code 704.162</w:t>
      </w:r>
      <w:r w:rsidR="00DE41CD">
        <w:t>,</w:t>
      </w:r>
      <w:r>
        <w:t xml:space="preserve"> a fixed width of not less than 402 meters (</w:t>
      </w:r>
      <w:r w:rsidR="009A4FB9">
        <w:t>one-quarter</w:t>
      </w:r>
      <w:r>
        <w:t xml:space="preserve"> mile) for the circumscribing area may be used. </w:t>
      </w:r>
    </w:p>
    <w:p w:rsidR="00480A55" w:rsidRDefault="00480A55" w:rsidP="001C01A4">
      <w:pPr>
        <w:widowControl w:val="0"/>
        <w:autoSpaceDE w:val="0"/>
        <w:autoSpaceDN w:val="0"/>
        <w:adjustRightInd w:val="0"/>
      </w:pPr>
    </w:p>
    <w:p w:rsidR="007957A1" w:rsidRDefault="007957A1" w:rsidP="007957A1">
      <w:pPr>
        <w:widowControl w:val="0"/>
        <w:autoSpaceDE w:val="0"/>
        <w:autoSpaceDN w:val="0"/>
        <w:adjustRightInd w:val="0"/>
        <w:ind w:left="2160" w:hanging="720"/>
      </w:pPr>
      <w:r>
        <w:t>3)</w:t>
      </w:r>
      <w:r>
        <w:tab/>
        <w:t xml:space="preserve">In determining the fixed radius, the following factors </w:t>
      </w:r>
      <w:r w:rsidR="009A4FB9">
        <w:t>must</w:t>
      </w:r>
      <w:r>
        <w:t xml:space="preserve"> be taken into consideration:  the chemistry of injected and formation fluids; the hydrogeology; the population and groundwater use and dependence; and historical practices in the area. </w:t>
      </w:r>
    </w:p>
    <w:p w:rsidR="00480A55" w:rsidRDefault="00480A55" w:rsidP="001C01A4">
      <w:pPr>
        <w:widowControl w:val="0"/>
        <w:autoSpaceDE w:val="0"/>
        <w:autoSpaceDN w:val="0"/>
        <w:adjustRightInd w:val="0"/>
      </w:pPr>
    </w:p>
    <w:p w:rsidR="007957A1" w:rsidRDefault="007957A1" w:rsidP="007957A1">
      <w:pPr>
        <w:widowControl w:val="0"/>
        <w:autoSpaceDE w:val="0"/>
        <w:autoSpaceDN w:val="0"/>
        <w:adjustRightInd w:val="0"/>
        <w:ind w:left="1440" w:hanging="720"/>
      </w:pPr>
      <w:r>
        <w:t>c)</w:t>
      </w:r>
      <w:r>
        <w:tab/>
        <w:t>If the area of review is determined by a mathematical model pursuant to subsection (a)</w:t>
      </w:r>
      <w:r w:rsidR="009A4FB9">
        <w:t>,</w:t>
      </w:r>
      <w:r>
        <w:t xml:space="preserve"> the permissible radius is the result of such calculation even if it is less than 402 meters (</w:t>
      </w:r>
      <w:r w:rsidR="009A4FB9">
        <w:t>one-quarter</w:t>
      </w:r>
      <w:r>
        <w:t xml:space="preserve"> mile). </w:t>
      </w:r>
    </w:p>
    <w:p w:rsidR="007957A1" w:rsidRDefault="007957A1" w:rsidP="001C01A4">
      <w:pPr>
        <w:widowControl w:val="0"/>
        <w:autoSpaceDE w:val="0"/>
        <w:autoSpaceDN w:val="0"/>
        <w:adjustRightInd w:val="0"/>
      </w:pPr>
    </w:p>
    <w:p w:rsidR="009A4FB9" w:rsidRPr="00D55B37" w:rsidRDefault="00E52138">
      <w:pPr>
        <w:pStyle w:val="JCARSourceNote"/>
        <w:ind w:left="720"/>
      </w:pPr>
      <w:r>
        <w:t xml:space="preserve">(Source:  Amended at 42 Ill. Reg. </w:t>
      </w:r>
      <w:r w:rsidR="00493693">
        <w:t>24145</w:t>
      </w:r>
      <w:r>
        <w:t xml:space="preserve">, effective </w:t>
      </w:r>
      <w:bookmarkStart w:id="0" w:name="_GoBack"/>
      <w:r w:rsidR="00493693">
        <w:t>November 19, 2018</w:t>
      </w:r>
      <w:bookmarkEnd w:id="0"/>
      <w:r>
        <w:t>)</w:t>
      </w:r>
    </w:p>
    <w:sectPr w:rsidR="009A4FB9" w:rsidRPr="00D55B37" w:rsidSect="00525CF4">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957A1"/>
    <w:rsid w:val="00020816"/>
    <w:rsid w:val="001716F2"/>
    <w:rsid w:val="001C01A4"/>
    <w:rsid w:val="001C411A"/>
    <w:rsid w:val="00271023"/>
    <w:rsid w:val="002F4A9C"/>
    <w:rsid w:val="003219A5"/>
    <w:rsid w:val="0032583B"/>
    <w:rsid w:val="003B0C74"/>
    <w:rsid w:val="003E722A"/>
    <w:rsid w:val="003F30E2"/>
    <w:rsid w:val="00480A55"/>
    <w:rsid w:val="00493693"/>
    <w:rsid w:val="00497CFC"/>
    <w:rsid w:val="00525CF4"/>
    <w:rsid w:val="0057727F"/>
    <w:rsid w:val="005C3366"/>
    <w:rsid w:val="006039A6"/>
    <w:rsid w:val="006870FC"/>
    <w:rsid w:val="007957A1"/>
    <w:rsid w:val="007D0304"/>
    <w:rsid w:val="009A4FB9"/>
    <w:rsid w:val="009B6ED0"/>
    <w:rsid w:val="009C154E"/>
    <w:rsid w:val="009F7FE1"/>
    <w:rsid w:val="00A76999"/>
    <w:rsid w:val="00BD4664"/>
    <w:rsid w:val="00BD6F1A"/>
    <w:rsid w:val="00CA69A8"/>
    <w:rsid w:val="00D2280D"/>
    <w:rsid w:val="00D7519C"/>
    <w:rsid w:val="00DE41CD"/>
    <w:rsid w:val="00E04712"/>
    <w:rsid w:val="00E52138"/>
    <w:rsid w:val="00ED41CD"/>
    <w:rsid w:val="00F57DC3"/>
    <w:rsid w:val="00F62D44"/>
    <w:rsid w:val="00F74030"/>
    <w:rsid w:val="00FB5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4971EC0-EBFE-4053-88D5-F98368956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rsid w:val="00497CFC"/>
    <w:pPr>
      <w:ind w:left="720" w:hanging="360"/>
    </w:pPr>
  </w:style>
  <w:style w:type="paragraph" w:styleId="BodyTextIndent">
    <w:name w:val="Body Text Indent"/>
    <w:basedOn w:val="Normal"/>
    <w:rsid w:val="00497CFC"/>
    <w:pPr>
      <w:spacing w:after="120"/>
      <w:ind w:left="360"/>
    </w:pPr>
  </w:style>
  <w:style w:type="paragraph" w:customStyle="1" w:styleId="JCARSourceNote">
    <w:name w:val="JCAR Source Note"/>
    <w:basedOn w:val="Normal"/>
    <w:rsid w:val="009A4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534</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730</vt:lpstr>
    </vt:vector>
  </TitlesOfParts>
  <Company>State of Illinois</Company>
  <LinksUpToDate>false</LinksUpToDate>
  <CharactersWithSpaces>3576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730</dc:title>
  <dc:subject/>
  <dc:creator>Illinois General Assembly</dc:creator>
  <cp:keywords/>
  <dc:description/>
  <cp:lastModifiedBy>Lane, Arlene L.</cp:lastModifiedBy>
  <cp:revision>4</cp:revision>
  <cp:lastPrinted>2018-06-27T18:05:00Z</cp:lastPrinted>
  <dcterms:created xsi:type="dcterms:W3CDTF">2018-12-17T16:07:00Z</dcterms:created>
  <dcterms:modified xsi:type="dcterms:W3CDTF">2018-12-19T15:43:00Z</dcterms:modified>
</cp:coreProperties>
</file>