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B6" w:rsidRDefault="007857B6" w:rsidP="007857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7B6" w:rsidRDefault="007857B6" w:rsidP="007857B6">
      <w:pPr>
        <w:widowControl w:val="0"/>
        <w:autoSpaceDE w:val="0"/>
        <w:autoSpaceDN w:val="0"/>
        <w:adjustRightInd w:val="0"/>
        <w:jc w:val="center"/>
      </w:pPr>
      <w:r>
        <w:t>SUBPART C:  RECYCLABLE MATERIALS USED IN A</w:t>
      </w:r>
    </w:p>
    <w:p w:rsidR="007857B6" w:rsidRDefault="007857B6" w:rsidP="007857B6">
      <w:pPr>
        <w:widowControl w:val="0"/>
        <w:autoSpaceDE w:val="0"/>
        <w:autoSpaceDN w:val="0"/>
        <w:adjustRightInd w:val="0"/>
        <w:jc w:val="center"/>
      </w:pPr>
      <w:r>
        <w:t>MANNER CONSTITUTING DISPOSAL</w:t>
      </w:r>
    </w:p>
    <w:sectPr w:rsidR="007857B6" w:rsidSect="00785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7B6"/>
    <w:rsid w:val="00402A46"/>
    <w:rsid w:val="005C3366"/>
    <w:rsid w:val="007857B6"/>
    <w:rsid w:val="007B287E"/>
    <w:rsid w:val="00E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RECYCLABLE MATERIALS USED IN A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RECYCLABLE MATERIALS USED IN A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