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1C" w:rsidRDefault="003F231C" w:rsidP="003F23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231C" w:rsidRDefault="003F231C" w:rsidP="003F231C">
      <w:pPr>
        <w:widowControl w:val="0"/>
        <w:autoSpaceDE w:val="0"/>
        <w:autoSpaceDN w:val="0"/>
        <w:adjustRightInd w:val="0"/>
        <w:jc w:val="center"/>
      </w:pPr>
      <w:r>
        <w:t>SUBPART I:  REQUIREMENTS FOR CLASS V INJECTION WELLS</w:t>
      </w:r>
    </w:p>
    <w:sectPr w:rsidR="003F231C" w:rsidSect="003F23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31C"/>
    <w:rsid w:val="00282FD6"/>
    <w:rsid w:val="003F231C"/>
    <w:rsid w:val="005C3366"/>
    <w:rsid w:val="00AD6B1A"/>
    <w:rsid w:val="00C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REQUIREMENTS FOR CLASS V INJECTION WELLS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REQUIREMENTS FOR CLASS V INJECTION WELLS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