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FB" w:rsidRDefault="00E101FB" w:rsidP="00E101FB">
      <w:pPr>
        <w:rPr>
          <w:b/>
        </w:rPr>
      </w:pPr>
    </w:p>
    <w:p w:rsidR="00E101FB" w:rsidRPr="0033313D" w:rsidRDefault="00E101FB" w:rsidP="00E101FB">
      <w:pPr>
        <w:rPr>
          <w:b/>
        </w:rPr>
      </w:pPr>
      <w:r w:rsidRPr="0033313D">
        <w:rPr>
          <w:b/>
        </w:rPr>
        <w:t>Section 704.129  Transitioning from a Class II Injection Well to a Class VI Injection Well</w:t>
      </w:r>
    </w:p>
    <w:p w:rsidR="00E101FB" w:rsidRPr="0033313D" w:rsidRDefault="00E101FB" w:rsidP="00E101FB"/>
    <w:p w:rsidR="00E101FB" w:rsidRPr="0033313D" w:rsidRDefault="00E101FB" w:rsidP="00E101FB">
      <w:pPr>
        <w:ind w:left="1440" w:hanging="720"/>
      </w:pPr>
      <w:r w:rsidRPr="0033313D">
        <w:t>a)</w:t>
      </w:r>
      <w:r w:rsidRPr="0033313D">
        <w:tab/>
        <w:t>The owner or operator of a Class II injection well that is injecting carbon dioxide into an oil and gas reservoir for the primary purpose of long-term storage must apply for and obtain a Class VI injection well geologic sequestration permit when there is an increased risk to a USDW compared to usual Class II injection well operations.  In determining if there is an increased risk to a USDW, the owner or operator must consider the factors specified for Agency consideration in subsection (b).</w:t>
      </w:r>
    </w:p>
    <w:p w:rsidR="00E101FB" w:rsidRPr="0033313D" w:rsidRDefault="00E101FB" w:rsidP="00E101FB"/>
    <w:p w:rsidR="00E101FB" w:rsidRPr="0033313D" w:rsidRDefault="00E101FB" w:rsidP="00E101FB">
      <w:pPr>
        <w:ind w:left="1440" w:hanging="720"/>
      </w:pPr>
      <w:r w:rsidRPr="0033313D">
        <w:t>b)</w:t>
      </w:r>
      <w:r w:rsidRPr="0033313D">
        <w:tab/>
        <w:t>The Agency must determine when there is an increased risk to a USDW from injecting carbon dioxide into an oil and gas reservoir for the primary purpose of long-term storage compared to usual Class II injection well operations and that a Class VI injection well permit is required.  In order to make this determination</w:t>
      </w:r>
      <w:r w:rsidR="00653483">
        <w:t>,</w:t>
      </w:r>
      <w:r w:rsidRPr="0033313D">
        <w:t xml:space="preserve"> the Agency must consider the following factors: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1)</w:t>
      </w:r>
      <w:r w:rsidRPr="0033313D">
        <w:tab/>
        <w:t>Any increase in reservoir pressure within the injection zones;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2)</w:t>
      </w:r>
      <w:r w:rsidRPr="0033313D">
        <w:tab/>
        <w:t>Any increase in carbon dioxide injection rates;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3)</w:t>
      </w:r>
      <w:r w:rsidRPr="0033313D">
        <w:tab/>
        <w:t>Any decrease in reservoir production rates;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4)</w:t>
      </w:r>
      <w:r w:rsidRPr="0033313D">
        <w:tab/>
        <w:t>The distance between the injection zones and USDWs;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5)</w:t>
      </w:r>
      <w:r w:rsidRPr="0033313D">
        <w:tab/>
        <w:t>The suitability of the Class II injection well area of review delineation;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6)</w:t>
      </w:r>
      <w:r w:rsidRPr="0033313D">
        <w:tab/>
        <w:t>The quality of abandoned well plugs within the area of review;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7)</w:t>
      </w:r>
      <w:r w:rsidRPr="0033313D">
        <w:tab/>
        <w:t>The owner</w:t>
      </w:r>
      <w:r>
        <w:t>'</w:t>
      </w:r>
      <w:r w:rsidRPr="0033313D">
        <w:t>s or operator</w:t>
      </w:r>
      <w:r>
        <w:t>'</w:t>
      </w:r>
      <w:r w:rsidRPr="0033313D">
        <w:t>s plan for recovery of carbon dioxide after the cessation of injection;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8)</w:t>
      </w:r>
      <w:r w:rsidRPr="0033313D">
        <w:tab/>
        <w:t>The source and properties of injected carbon dioxide; and</w:t>
      </w:r>
    </w:p>
    <w:p w:rsidR="00E101FB" w:rsidRPr="0033313D" w:rsidRDefault="00E101FB" w:rsidP="00E101FB"/>
    <w:p w:rsidR="00E101FB" w:rsidRPr="0033313D" w:rsidRDefault="00E101FB" w:rsidP="00E101FB">
      <w:pPr>
        <w:ind w:left="2160" w:hanging="720"/>
      </w:pPr>
      <w:r w:rsidRPr="0033313D">
        <w:t>9)</w:t>
      </w:r>
      <w:r w:rsidRPr="0033313D">
        <w:tab/>
        <w:t xml:space="preserve">Any additional site-specific factors that the Agency determines are necessary to determine whether the injection poses greater risk </w:t>
      </w:r>
      <w:r w:rsidR="00653483">
        <w:t xml:space="preserve">than </w:t>
      </w:r>
      <w:r w:rsidRPr="0033313D">
        <w:t>usual Class II operations.</w:t>
      </w:r>
    </w:p>
    <w:p w:rsidR="00E101FB" w:rsidRPr="0033313D" w:rsidRDefault="00E101FB" w:rsidP="00E101FB"/>
    <w:p w:rsidR="00E101FB" w:rsidRPr="0033313D" w:rsidRDefault="00E101FB" w:rsidP="00E101FB">
      <w:r w:rsidRPr="0033313D">
        <w:t xml:space="preserve">BOARD NOTE:  Derived from 40 </w:t>
      </w:r>
      <w:smartTag w:uri="urn:schemas-microsoft-com:office:smarttags" w:element="stockticker">
        <w:r w:rsidRPr="0033313D">
          <w:t>CFR</w:t>
        </w:r>
      </w:smartTag>
      <w:r w:rsidRPr="0033313D">
        <w:t xml:space="preserve"> 144.19 (</w:t>
      </w:r>
      <w:r w:rsidR="0045477F">
        <w:t>2017</w:t>
      </w:r>
      <w:r w:rsidRPr="0033313D">
        <w:t>).</w:t>
      </w:r>
    </w:p>
    <w:p w:rsidR="001C71C2" w:rsidRDefault="001C71C2" w:rsidP="00691C08"/>
    <w:p w:rsidR="00E101FB" w:rsidRPr="00D55B37" w:rsidRDefault="0045477F">
      <w:pPr>
        <w:pStyle w:val="JCARSourceNote"/>
        <w:ind w:left="720"/>
      </w:pPr>
      <w:r>
        <w:t xml:space="preserve">(Source:  Amended at 42 Ill. Reg. </w:t>
      </w:r>
      <w:r w:rsidR="009A30B8">
        <w:t>21095</w:t>
      </w:r>
      <w:bookmarkStart w:id="0" w:name="_GoBack"/>
      <w:bookmarkEnd w:id="0"/>
      <w:r>
        <w:t xml:space="preserve">, effective </w:t>
      </w:r>
      <w:r w:rsidR="006B6A96">
        <w:t>November 19, 2018</w:t>
      </w:r>
      <w:r>
        <w:t>)</w:t>
      </w:r>
    </w:p>
    <w:sectPr w:rsidR="00E101F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EB" w:rsidRDefault="00D73BEB">
      <w:r>
        <w:separator/>
      </w:r>
    </w:p>
  </w:endnote>
  <w:endnote w:type="continuationSeparator" w:id="0">
    <w:p w:rsidR="00D73BEB" w:rsidRDefault="00D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EB" w:rsidRDefault="00D73BEB">
      <w:r>
        <w:separator/>
      </w:r>
    </w:p>
  </w:footnote>
  <w:footnote w:type="continuationSeparator" w:id="0">
    <w:p w:rsidR="00D73BEB" w:rsidRDefault="00D7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B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B3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AB"/>
    <w:rsid w:val="00235BC5"/>
    <w:rsid w:val="002375DD"/>
    <w:rsid w:val="00246C8D"/>
    <w:rsid w:val="002524EC"/>
    <w:rsid w:val="0025543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77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CD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B31"/>
    <w:rsid w:val="005A2494"/>
    <w:rsid w:val="005A73F7"/>
    <w:rsid w:val="005C7438"/>
    <w:rsid w:val="005C778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483"/>
    <w:rsid w:val="006554EC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A96"/>
    <w:rsid w:val="006B7535"/>
    <w:rsid w:val="006B7892"/>
    <w:rsid w:val="006C0FE8"/>
    <w:rsid w:val="006C45D5"/>
    <w:rsid w:val="006D503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3FC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DB7"/>
    <w:rsid w:val="009A26DA"/>
    <w:rsid w:val="009A30B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7A7"/>
    <w:rsid w:val="00A26B95"/>
    <w:rsid w:val="00A319B1"/>
    <w:rsid w:val="00A31B74"/>
    <w:rsid w:val="00A327AB"/>
    <w:rsid w:val="00A3646E"/>
    <w:rsid w:val="00A42797"/>
    <w:rsid w:val="00A42F61"/>
    <w:rsid w:val="00A52BDD"/>
    <w:rsid w:val="00A565C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C5D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58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BE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1F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09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8DA0AD0-7D62-4F23-AFAA-5900270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E101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E101F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2018-11-20T19:17:00Z</dcterms:created>
  <dcterms:modified xsi:type="dcterms:W3CDTF">2018-11-28T14:41:00Z</dcterms:modified>
</cp:coreProperties>
</file>