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002" w:rsidRDefault="00D71863" w:rsidP="000B3002">
      <w:pPr>
        <w:widowControl w:val="0"/>
        <w:autoSpaceDE w:val="0"/>
        <w:autoSpaceDN w:val="0"/>
        <w:adjustRightInd w:val="0"/>
      </w:pPr>
      <w:r>
        <w:br w:type="page"/>
      </w:r>
      <w:r w:rsidR="000B3002">
        <w:rPr>
          <w:b/>
          <w:bCs/>
        </w:rPr>
        <w:lastRenderedPageBreak/>
        <w:t xml:space="preserve">Section 620.APPENDIX B  </w:t>
      </w:r>
      <w:r>
        <w:rPr>
          <w:b/>
          <w:bCs/>
        </w:rPr>
        <w:t xml:space="preserve"> </w:t>
      </w:r>
      <w:r w:rsidR="000B3002">
        <w:rPr>
          <w:b/>
          <w:bCs/>
        </w:rPr>
        <w:t>Procedures for Determining Hazard Indices for Class I:  Potable Resource Groundwater for Mixtures of Similar-Acting Substances</w:t>
      </w:r>
      <w:r w:rsidR="000B3002">
        <w:t xml:space="preserve"> </w:t>
      </w:r>
    </w:p>
    <w:p w:rsidR="000B3002" w:rsidRDefault="000B3002" w:rsidP="000B3002">
      <w:pPr>
        <w:widowControl w:val="0"/>
        <w:autoSpaceDE w:val="0"/>
        <w:autoSpaceDN w:val="0"/>
        <w:adjustRightInd w:val="0"/>
      </w:pPr>
    </w:p>
    <w:p w:rsidR="000B3002" w:rsidRDefault="000B3002" w:rsidP="000B3002">
      <w:pPr>
        <w:widowControl w:val="0"/>
        <w:autoSpaceDE w:val="0"/>
        <w:autoSpaceDN w:val="0"/>
        <w:adjustRightInd w:val="0"/>
        <w:ind w:left="1440" w:hanging="720"/>
      </w:pPr>
      <w:r>
        <w:t>a)</w:t>
      </w:r>
      <w:r>
        <w:tab/>
        <w:t xml:space="preserve">This appendix describes procedures for evaluating mixtures of similar-acting substances which may be present in Class I:  Potable Resource Groundwaters.  Except as provided otherwise in subsection (c), subsections (d) through (h) describe the procedure for determining the Hazard Index for mixtures of similar-acting substances. </w:t>
      </w:r>
    </w:p>
    <w:p w:rsidR="003B1084" w:rsidRDefault="003B1084" w:rsidP="000B3002">
      <w:pPr>
        <w:widowControl w:val="0"/>
        <w:autoSpaceDE w:val="0"/>
        <w:autoSpaceDN w:val="0"/>
        <w:adjustRightInd w:val="0"/>
        <w:ind w:left="1440" w:hanging="720"/>
      </w:pPr>
    </w:p>
    <w:p w:rsidR="000B3002" w:rsidRDefault="000B3002" w:rsidP="000B3002">
      <w:pPr>
        <w:widowControl w:val="0"/>
        <w:autoSpaceDE w:val="0"/>
        <w:autoSpaceDN w:val="0"/>
        <w:adjustRightInd w:val="0"/>
        <w:ind w:left="1440" w:hanging="720"/>
      </w:pPr>
      <w:r>
        <w:t>b)</w:t>
      </w:r>
      <w:r>
        <w:tab/>
        <w:t xml:space="preserve">For the purposes of this appendix, a "mixture" means two or more substances which are present in Class I:  Potable Resource Groundwater which may or may not be related either chemically or commercially, but which are not complex mixtures of related isomers and congeners which are produced as commercial products (for example, PCBs or technical grade chlordane). </w:t>
      </w:r>
    </w:p>
    <w:p w:rsidR="003B1084" w:rsidRDefault="003B1084" w:rsidP="000B3002">
      <w:pPr>
        <w:widowControl w:val="0"/>
        <w:autoSpaceDE w:val="0"/>
        <w:autoSpaceDN w:val="0"/>
        <w:adjustRightInd w:val="0"/>
        <w:ind w:left="1440" w:hanging="720"/>
      </w:pPr>
    </w:p>
    <w:p w:rsidR="000B3002" w:rsidRDefault="000B3002" w:rsidP="000B3002">
      <w:pPr>
        <w:widowControl w:val="0"/>
        <w:autoSpaceDE w:val="0"/>
        <w:autoSpaceDN w:val="0"/>
        <w:adjustRightInd w:val="0"/>
        <w:ind w:left="1440" w:hanging="720"/>
      </w:pPr>
      <w:r>
        <w:t>c)</w:t>
      </w:r>
      <w:r>
        <w:tab/>
        <w:t xml:space="preserve">The following substances listed in Section 620.410 are mixtures of similar acting substances: </w:t>
      </w:r>
    </w:p>
    <w:p w:rsidR="003B1084" w:rsidRDefault="003B1084" w:rsidP="000B3002">
      <w:pPr>
        <w:widowControl w:val="0"/>
        <w:autoSpaceDE w:val="0"/>
        <w:autoSpaceDN w:val="0"/>
        <w:adjustRightInd w:val="0"/>
        <w:ind w:left="2160" w:hanging="720"/>
      </w:pPr>
    </w:p>
    <w:p w:rsidR="000B3002" w:rsidRDefault="000B3002" w:rsidP="000B3002">
      <w:pPr>
        <w:widowControl w:val="0"/>
        <w:autoSpaceDE w:val="0"/>
        <w:autoSpaceDN w:val="0"/>
        <w:adjustRightInd w:val="0"/>
        <w:ind w:left="2160" w:hanging="720"/>
      </w:pPr>
      <w:r>
        <w:t>1)</w:t>
      </w:r>
      <w:r>
        <w:tab/>
        <w:t xml:space="preserve">Mixtures of ortho-Dichlorobenzene and para-Dichlorobenzene.  The Hazard Index (HI) for such mixtures is determined as follows: </w:t>
      </w:r>
    </w:p>
    <w:p w:rsidR="003B1084" w:rsidRDefault="003B1084" w:rsidP="000B3002">
      <w:pPr>
        <w:widowControl w:val="0"/>
        <w:autoSpaceDE w:val="0"/>
        <w:autoSpaceDN w:val="0"/>
        <w:adjustRightInd w:val="0"/>
        <w:ind w:left="2160" w:hanging="720"/>
      </w:pPr>
    </w:p>
    <w:p w:rsidR="000B3002" w:rsidRDefault="000B3002" w:rsidP="00E207F7">
      <w:pPr>
        <w:widowControl w:val="0"/>
        <w:autoSpaceDE w:val="0"/>
        <w:autoSpaceDN w:val="0"/>
        <w:adjustRightInd w:val="0"/>
        <w:ind w:left="2160" w:hanging="720"/>
      </w:pPr>
      <w:r>
        <w:tab/>
        <w:t>HI = [ortho-Dichlorobenzene]</w:t>
      </w:r>
      <w:r w:rsidR="003A31A6">
        <w:t>/</w:t>
      </w:r>
      <w:r>
        <w:t>0.6</w:t>
      </w:r>
      <w:r w:rsidR="00E207F7">
        <w:t xml:space="preserve"> </w:t>
      </w:r>
      <w:r>
        <w:t>+</w:t>
      </w:r>
      <w:r w:rsidR="00E207F7">
        <w:t xml:space="preserve"> </w:t>
      </w:r>
      <w:r>
        <w:t>[para-Dichlorobenzene]</w:t>
      </w:r>
      <w:r w:rsidR="003A31A6">
        <w:t>/</w:t>
      </w:r>
      <w:r>
        <w:t xml:space="preserve">0.075 </w:t>
      </w:r>
    </w:p>
    <w:p w:rsidR="00E207F7" w:rsidRDefault="00E207F7" w:rsidP="000B3002">
      <w:pPr>
        <w:widowControl w:val="0"/>
        <w:autoSpaceDE w:val="0"/>
        <w:autoSpaceDN w:val="0"/>
        <w:adjustRightInd w:val="0"/>
        <w:ind w:left="2160" w:hanging="720"/>
      </w:pPr>
    </w:p>
    <w:p w:rsidR="000B3002" w:rsidRDefault="000B3002" w:rsidP="000B3002">
      <w:pPr>
        <w:widowControl w:val="0"/>
        <w:autoSpaceDE w:val="0"/>
        <w:autoSpaceDN w:val="0"/>
        <w:adjustRightInd w:val="0"/>
        <w:ind w:left="2160" w:hanging="720"/>
      </w:pPr>
      <w:r>
        <w:t>2)</w:t>
      </w:r>
      <w:r>
        <w:tab/>
        <w:t xml:space="preserve">Mixtures of 1,1-Dichloroethylene and 1,1,1-trichloroethane.  The Hazard Index (HI) for such mixtures is determined as follows: </w:t>
      </w:r>
    </w:p>
    <w:p w:rsidR="003B1084" w:rsidRDefault="003B1084" w:rsidP="000B3002">
      <w:pPr>
        <w:widowControl w:val="0"/>
        <w:autoSpaceDE w:val="0"/>
        <w:autoSpaceDN w:val="0"/>
        <w:adjustRightInd w:val="0"/>
        <w:ind w:left="2160" w:hanging="720"/>
      </w:pPr>
    </w:p>
    <w:p w:rsidR="000B3002" w:rsidRDefault="000B3002" w:rsidP="00E207F7">
      <w:pPr>
        <w:widowControl w:val="0"/>
        <w:autoSpaceDE w:val="0"/>
        <w:autoSpaceDN w:val="0"/>
        <w:adjustRightInd w:val="0"/>
        <w:ind w:left="2160" w:hanging="720"/>
      </w:pPr>
      <w:r>
        <w:tab/>
        <w:t>HI = [1,1-Dichloroethylene]</w:t>
      </w:r>
      <w:r w:rsidR="003A31A6">
        <w:t>/</w:t>
      </w:r>
      <w:r>
        <w:t>0.007 +</w:t>
      </w:r>
      <w:r w:rsidR="00E207F7">
        <w:t xml:space="preserve"> </w:t>
      </w:r>
      <w:r>
        <w:t>[1,1,1-trichloroethane]</w:t>
      </w:r>
      <w:r w:rsidR="003A31A6">
        <w:t>/</w:t>
      </w:r>
      <w:r>
        <w:t xml:space="preserve">0.2 </w:t>
      </w:r>
    </w:p>
    <w:p w:rsidR="003B1084" w:rsidRDefault="003B1084" w:rsidP="000B3002">
      <w:pPr>
        <w:widowControl w:val="0"/>
        <w:autoSpaceDE w:val="0"/>
        <w:autoSpaceDN w:val="0"/>
        <w:adjustRightInd w:val="0"/>
        <w:ind w:left="1440" w:hanging="720"/>
      </w:pPr>
    </w:p>
    <w:p w:rsidR="000B3002" w:rsidRDefault="000B3002" w:rsidP="00915C3B">
      <w:pPr>
        <w:widowControl w:val="0"/>
        <w:autoSpaceDE w:val="0"/>
        <w:autoSpaceDN w:val="0"/>
        <w:adjustRightInd w:val="0"/>
        <w:ind w:left="1440" w:hanging="720"/>
      </w:pPr>
      <w:r>
        <w:t>d)</w:t>
      </w:r>
      <w:r>
        <w:tab/>
        <w:t xml:space="preserve">When two or more substances occur together in a mixture, the additivity of the toxicities of some or all of the substances will be considered when determining health-based standards for Class I:  Potable Resource Groundwater. This is done by the use of a dose addition model with the development of a Hazard Index for the mixture of substances with similar-acting toxicities. This method does not address synergism or antagonism.  Guidelines for determining when the dose addition of similar-acting substances is appropriate are presented in Appendix C. The Hazard Index is calculated as follows: </w:t>
      </w:r>
    </w:p>
    <w:p w:rsidR="003B1084" w:rsidRDefault="003B1084" w:rsidP="000B3002">
      <w:pPr>
        <w:widowControl w:val="0"/>
        <w:autoSpaceDE w:val="0"/>
        <w:autoSpaceDN w:val="0"/>
        <w:adjustRightInd w:val="0"/>
        <w:ind w:left="2160" w:hanging="720"/>
      </w:pPr>
    </w:p>
    <w:p w:rsidR="000B3002" w:rsidRDefault="000B3002" w:rsidP="00915C3B">
      <w:pPr>
        <w:widowControl w:val="0"/>
        <w:autoSpaceDE w:val="0"/>
        <w:autoSpaceDN w:val="0"/>
        <w:adjustRightInd w:val="0"/>
        <w:ind w:left="1425" w:right="981" w:firstLine="15"/>
        <w:jc w:val="center"/>
      </w:pPr>
      <w:r>
        <w:t>HI = [A]</w:t>
      </w:r>
      <w:r w:rsidR="003A31A6">
        <w:t>/</w:t>
      </w:r>
      <w:r>
        <w:t>ALA +</w:t>
      </w:r>
      <w:r w:rsidR="00E207F7">
        <w:t xml:space="preserve"> </w:t>
      </w:r>
      <w:r>
        <w:t>[B]</w:t>
      </w:r>
      <w:r w:rsidR="003A31A6">
        <w:t>/</w:t>
      </w:r>
      <w:r>
        <w:t>ALB +. . . [I]</w:t>
      </w:r>
      <w:r w:rsidR="003A31A6">
        <w:t>/</w:t>
      </w:r>
      <w:r>
        <w:t>ALI</w:t>
      </w:r>
    </w:p>
    <w:p w:rsidR="003B1084" w:rsidRDefault="003B1084" w:rsidP="000B3002">
      <w:pPr>
        <w:widowControl w:val="0"/>
        <w:autoSpaceDE w:val="0"/>
        <w:autoSpaceDN w:val="0"/>
        <w:adjustRightInd w:val="0"/>
        <w:ind w:left="2160" w:hanging="720"/>
      </w:pPr>
    </w:p>
    <w:p w:rsidR="000B3002" w:rsidRDefault="000B3002" w:rsidP="00915C3B">
      <w:pPr>
        <w:widowControl w:val="0"/>
        <w:autoSpaceDE w:val="0"/>
        <w:autoSpaceDN w:val="0"/>
        <w:adjustRightInd w:val="0"/>
        <w:ind w:left="2160"/>
      </w:pPr>
      <w:r>
        <w:t xml:space="preserve">Where: </w:t>
      </w:r>
    </w:p>
    <w:p w:rsidR="00915C3B" w:rsidRDefault="00915C3B" w:rsidP="00915C3B">
      <w:pPr>
        <w:widowControl w:val="0"/>
        <w:autoSpaceDE w:val="0"/>
        <w:autoSpaceDN w:val="0"/>
        <w:adjustRightInd w:val="0"/>
        <w:ind w:left="2160"/>
      </w:pPr>
    </w:p>
    <w:tbl>
      <w:tblPr>
        <w:tblW w:w="0" w:type="auto"/>
        <w:tblInd w:w="2502" w:type="dxa"/>
        <w:tblLayout w:type="fixed"/>
        <w:tblLook w:val="0000" w:firstRow="0" w:lastRow="0" w:firstColumn="0" w:lastColumn="0" w:noHBand="0" w:noVBand="0"/>
      </w:tblPr>
      <w:tblGrid>
        <w:gridCol w:w="1854"/>
        <w:gridCol w:w="279"/>
        <w:gridCol w:w="4941"/>
      </w:tblGrid>
      <w:tr w:rsidR="00915C3B" w:rsidTr="00915C3B">
        <w:trPr>
          <w:trHeight w:val="387"/>
        </w:trPr>
        <w:tc>
          <w:tcPr>
            <w:tcW w:w="1854" w:type="dxa"/>
          </w:tcPr>
          <w:p w:rsidR="00915C3B" w:rsidRDefault="00915C3B" w:rsidP="00915C3B">
            <w:pPr>
              <w:widowControl w:val="0"/>
              <w:autoSpaceDE w:val="0"/>
              <w:autoSpaceDN w:val="0"/>
              <w:adjustRightInd w:val="0"/>
            </w:pPr>
            <w:r>
              <w:t>HI</w:t>
            </w:r>
          </w:p>
        </w:tc>
        <w:tc>
          <w:tcPr>
            <w:tcW w:w="279" w:type="dxa"/>
          </w:tcPr>
          <w:p w:rsidR="00915C3B" w:rsidRDefault="00915C3B" w:rsidP="00915C3B">
            <w:pPr>
              <w:widowControl w:val="0"/>
              <w:autoSpaceDE w:val="0"/>
              <w:autoSpaceDN w:val="0"/>
              <w:adjustRightInd w:val="0"/>
              <w:ind w:left="-99" w:right="-108"/>
              <w:jc w:val="center"/>
            </w:pPr>
            <w:r>
              <w:t>=</w:t>
            </w:r>
          </w:p>
        </w:tc>
        <w:tc>
          <w:tcPr>
            <w:tcW w:w="4941" w:type="dxa"/>
          </w:tcPr>
          <w:p w:rsidR="00915C3B" w:rsidRDefault="00915C3B" w:rsidP="00915C3B">
            <w:pPr>
              <w:widowControl w:val="0"/>
              <w:autoSpaceDE w:val="0"/>
              <w:autoSpaceDN w:val="0"/>
              <w:adjustRightInd w:val="0"/>
            </w:pPr>
            <w:r>
              <w:t>Hazard Index, unitless.</w:t>
            </w:r>
          </w:p>
        </w:tc>
      </w:tr>
      <w:tr w:rsidR="00915C3B" w:rsidTr="00915C3B">
        <w:trPr>
          <w:trHeight w:val="657"/>
        </w:trPr>
        <w:tc>
          <w:tcPr>
            <w:tcW w:w="1854" w:type="dxa"/>
          </w:tcPr>
          <w:p w:rsidR="00915C3B" w:rsidRDefault="00915C3B" w:rsidP="00915C3B">
            <w:pPr>
              <w:widowControl w:val="0"/>
              <w:autoSpaceDE w:val="0"/>
              <w:autoSpaceDN w:val="0"/>
              <w:adjustRightInd w:val="0"/>
            </w:pPr>
            <w:r>
              <w:t>[A], [B], [I]</w:t>
            </w:r>
          </w:p>
        </w:tc>
        <w:tc>
          <w:tcPr>
            <w:tcW w:w="279" w:type="dxa"/>
          </w:tcPr>
          <w:p w:rsidR="00915C3B" w:rsidRDefault="00915C3B" w:rsidP="00915C3B">
            <w:pPr>
              <w:widowControl w:val="0"/>
              <w:autoSpaceDE w:val="0"/>
              <w:autoSpaceDN w:val="0"/>
              <w:adjustRightInd w:val="0"/>
              <w:ind w:left="-99" w:right="-108"/>
              <w:jc w:val="center"/>
            </w:pPr>
            <w:r>
              <w:t>=</w:t>
            </w:r>
          </w:p>
        </w:tc>
        <w:tc>
          <w:tcPr>
            <w:tcW w:w="4941" w:type="dxa"/>
          </w:tcPr>
          <w:p w:rsidR="00915C3B" w:rsidRDefault="00915C3B" w:rsidP="00915C3B">
            <w:pPr>
              <w:widowControl w:val="0"/>
              <w:autoSpaceDE w:val="0"/>
              <w:autoSpaceDN w:val="0"/>
              <w:adjustRightInd w:val="0"/>
            </w:pPr>
            <w:r>
              <w:t>Concentration of each similar-acting substance in groundwater in milligrams per liter (mg/L).</w:t>
            </w:r>
          </w:p>
        </w:tc>
      </w:tr>
      <w:tr w:rsidR="00915C3B" w:rsidTr="00915C3B">
        <w:tc>
          <w:tcPr>
            <w:tcW w:w="1854" w:type="dxa"/>
          </w:tcPr>
          <w:p w:rsidR="00915C3B" w:rsidRDefault="00915C3B" w:rsidP="00915C3B">
            <w:pPr>
              <w:widowControl w:val="0"/>
              <w:autoSpaceDE w:val="0"/>
              <w:autoSpaceDN w:val="0"/>
              <w:adjustRightInd w:val="0"/>
            </w:pPr>
            <w:r>
              <w:t>ALA, ALB, ALI</w:t>
            </w:r>
          </w:p>
        </w:tc>
        <w:tc>
          <w:tcPr>
            <w:tcW w:w="279" w:type="dxa"/>
          </w:tcPr>
          <w:p w:rsidR="00915C3B" w:rsidRDefault="00915C3B" w:rsidP="00915C3B">
            <w:pPr>
              <w:widowControl w:val="0"/>
              <w:autoSpaceDE w:val="0"/>
              <w:autoSpaceDN w:val="0"/>
              <w:adjustRightInd w:val="0"/>
              <w:ind w:left="-99" w:right="-108"/>
              <w:jc w:val="center"/>
            </w:pPr>
            <w:r>
              <w:t>=</w:t>
            </w:r>
          </w:p>
        </w:tc>
        <w:tc>
          <w:tcPr>
            <w:tcW w:w="4941" w:type="dxa"/>
          </w:tcPr>
          <w:p w:rsidR="00915C3B" w:rsidRDefault="00915C3B" w:rsidP="00915C3B">
            <w:pPr>
              <w:widowControl w:val="0"/>
              <w:autoSpaceDE w:val="0"/>
              <w:autoSpaceDN w:val="0"/>
              <w:adjustRightInd w:val="0"/>
            </w:pPr>
            <w:r>
              <w:t xml:space="preserve">The acceptable level of each similar-acting substance in the mixture in milligrams per liter </w:t>
            </w:r>
            <w:r>
              <w:lastRenderedPageBreak/>
              <w:t>(mg/L).</w:t>
            </w:r>
          </w:p>
        </w:tc>
      </w:tr>
    </w:tbl>
    <w:p w:rsidR="00915C3B" w:rsidRDefault="00915C3B" w:rsidP="00915C3B">
      <w:pPr>
        <w:widowControl w:val="0"/>
        <w:autoSpaceDE w:val="0"/>
        <w:autoSpaceDN w:val="0"/>
        <w:adjustRightInd w:val="0"/>
        <w:ind w:left="2160"/>
      </w:pPr>
    </w:p>
    <w:p w:rsidR="000B3002" w:rsidRDefault="000B3002" w:rsidP="000B3002">
      <w:pPr>
        <w:widowControl w:val="0"/>
        <w:autoSpaceDE w:val="0"/>
        <w:autoSpaceDN w:val="0"/>
        <w:adjustRightInd w:val="0"/>
        <w:ind w:left="1440" w:hanging="720"/>
      </w:pPr>
      <w:r>
        <w:t>e)</w:t>
      </w:r>
      <w:r>
        <w:tab/>
        <w:t xml:space="preserve">For substances </w:t>
      </w:r>
      <w:r w:rsidR="003A31A6">
        <w:t>that</w:t>
      </w:r>
      <w:r>
        <w:t xml:space="preserve"> are considered to have a threshold mechanism of toxicity, the acceptable level is: </w:t>
      </w:r>
    </w:p>
    <w:p w:rsidR="003B1084" w:rsidRDefault="003B1084" w:rsidP="000B3002">
      <w:pPr>
        <w:widowControl w:val="0"/>
        <w:autoSpaceDE w:val="0"/>
        <w:autoSpaceDN w:val="0"/>
        <w:adjustRightInd w:val="0"/>
        <w:ind w:left="2160" w:hanging="720"/>
      </w:pPr>
    </w:p>
    <w:p w:rsidR="000B3002" w:rsidRDefault="000B3002" w:rsidP="000B3002">
      <w:pPr>
        <w:widowControl w:val="0"/>
        <w:autoSpaceDE w:val="0"/>
        <w:autoSpaceDN w:val="0"/>
        <w:adjustRightInd w:val="0"/>
        <w:ind w:left="2160" w:hanging="720"/>
      </w:pPr>
      <w:r>
        <w:t>1)</w:t>
      </w:r>
      <w:r>
        <w:tab/>
        <w:t xml:space="preserve">The standards listed in Section 620.410; or </w:t>
      </w:r>
    </w:p>
    <w:p w:rsidR="003B1084" w:rsidRDefault="003B1084" w:rsidP="000B3002">
      <w:pPr>
        <w:widowControl w:val="0"/>
        <w:autoSpaceDE w:val="0"/>
        <w:autoSpaceDN w:val="0"/>
        <w:adjustRightInd w:val="0"/>
        <w:ind w:left="2160" w:hanging="720"/>
      </w:pPr>
    </w:p>
    <w:p w:rsidR="000B3002" w:rsidRDefault="000B3002" w:rsidP="000B3002">
      <w:pPr>
        <w:widowControl w:val="0"/>
        <w:autoSpaceDE w:val="0"/>
        <w:autoSpaceDN w:val="0"/>
        <w:adjustRightInd w:val="0"/>
        <w:ind w:left="2160" w:hanging="720"/>
      </w:pPr>
      <w:r>
        <w:t>2)</w:t>
      </w:r>
      <w:r>
        <w:tab/>
        <w:t xml:space="preserve">For those substances for which standards have not been established in Section 620.410, the Human Threshold Toxicant Advisory Concentration (HTTAC) as determined in Appendix A. </w:t>
      </w:r>
    </w:p>
    <w:p w:rsidR="003B1084" w:rsidRDefault="003B1084" w:rsidP="000B3002">
      <w:pPr>
        <w:widowControl w:val="0"/>
        <w:autoSpaceDE w:val="0"/>
        <w:autoSpaceDN w:val="0"/>
        <w:adjustRightInd w:val="0"/>
        <w:ind w:left="1440" w:hanging="720"/>
      </w:pPr>
    </w:p>
    <w:p w:rsidR="000B3002" w:rsidRDefault="000B3002" w:rsidP="000B3002">
      <w:pPr>
        <w:widowControl w:val="0"/>
        <w:autoSpaceDE w:val="0"/>
        <w:autoSpaceDN w:val="0"/>
        <w:adjustRightInd w:val="0"/>
        <w:ind w:left="1440" w:hanging="720"/>
      </w:pPr>
      <w:r>
        <w:t>f)</w:t>
      </w:r>
      <w:r>
        <w:tab/>
        <w:t xml:space="preserve">For substances </w:t>
      </w:r>
      <w:r w:rsidR="00A42031">
        <w:t>that</w:t>
      </w:r>
      <w:r>
        <w:t xml:space="preserve"> are carcinogens, the acceptable level is: </w:t>
      </w:r>
    </w:p>
    <w:p w:rsidR="003B1084" w:rsidRDefault="003B1084" w:rsidP="000B3002">
      <w:pPr>
        <w:widowControl w:val="0"/>
        <w:autoSpaceDE w:val="0"/>
        <w:autoSpaceDN w:val="0"/>
        <w:adjustRightInd w:val="0"/>
        <w:ind w:left="2160" w:hanging="720"/>
      </w:pPr>
    </w:p>
    <w:p w:rsidR="000B3002" w:rsidRDefault="000B3002" w:rsidP="000B3002">
      <w:pPr>
        <w:widowControl w:val="0"/>
        <w:autoSpaceDE w:val="0"/>
        <w:autoSpaceDN w:val="0"/>
        <w:adjustRightInd w:val="0"/>
        <w:ind w:left="2160" w:hanging="720"/>
      </w:pPr>
      <w:r>
        <w:t>1)</w:t>
      </w:r>
      <w:r>
        <w:tab/>
        <w:t xml:space="preserve">The standards listed in Section 620.410; or </w:t>
      </w:r>
    </w:p>
    <w:p w:rsidR="003B1084" w:rsidRDefault="003B1084" w:rsidP="000B3002">
      <w:pPr>
        <w:widowControl w:val="0"/>
        <w:autoSpaceDE w:val="0"/>
        <w:autoSpaceDN w:val="0"/>
        <w:adjustRightInd w:val="0"/>
        <w:ind w:left="2160" w:hanging="720"/>
      </w:pPr>
    </w:p>
    <w:p w:rsidR="000B3002" w:rsidRDefault="000B3002" w:rsidP="000B3002">
      <w:pPr>
        <w:widowControl w:val="0"/>
        <w:autoSpaceDE w:val="0"/>
        <w:autoSpaceDN w:val="0"/>
        <w:adjustRightInd w:val="0"/>
        <w:ind w:left="2160" w:hanging="720"/>
      </w:pPr>
      <w:r>
        <w:t>2)</w:t>
      </w:r>
      <w:r>
        <w:tab/>
        <w:t xml:space="preserve">For those substances for which standards have not been established under Section 620.410, </w:t>
      </w:r>
      <w:r w:rsidR="00D71863" w:rsidRPr="00AE2E06">
        <w:t xml:space="preserve">the one-in-one-million cancer risk concentration, unless the concentration for such substance is less than the lowest appropriate PQL specified in </w:t>
      </w:r>
      <w:r w:rsidR="00D71863">
        <w:t>"</w:t>
      </w:r>
      <w:r w:rsidR="00D71863" w:rsidRPr="00AE2E06">
        <w:t>Test Methods for Evaluating Solid Wastes, Physical/Chemical Methods,</w:t>
      </w:r>
      <w:r w:rsidR="00D71863">
        <w:t>"</w:t>
      </w:r>
      <w:r w:rsidR="00D71863" w:rsidRPr="00AE2E06">
        <w:t xml:space="preserve"> EPA Publication No. SW-846, incorporated by reference at Section 620.125, for the substance, in which case the lowest appropriate PQL shall be the acceptable level.</w:t>
      </w:r>
      <w:r>
        <w:t xml:space="preserve"> </w:t>
      </w:r>
    </w:p>
    <w:p w:rsidR="003B1084" w:rsidRDefault="003B1084" w:rsidP="000B3002">
      <w:pPr>
        <w:widowControl w:val="0"/>
        <w:autoSpaceDE w:val="0"/>
        <w:autoSpaceDN w:val="0"/>
        <w:adjustRightInd w:val="0"/>
        <w:ind w:left="1440" w:hanging="720"/>
      </w:pPr>
    </w:p>
    <w:p w:rsidR="000B3002" w:rsidRDefault="000B3002" w:rsidP="000B3002">
      <w:pPr>
        <w:widowControl w:val="0"/>
        <w:autoSpaceDE w:val="0"/>
        <w:autoSpaceDN w:val="0"/>
        <w:adjustRightInd w:val="0"/>
        <w:ind w:left="1440" w:hanging="720"/>
      </w:pPr>
      <w:r>
        <w:t>g)</w:t>
      </w:r>
      <w:r>
        <w:tab/>
        <w:t xml:space="preserve">Since the assumption of dose addition is most properly applied to substances that induce the same effect by similar modes of action, a separate HI must be generated for each toxicity endpoint of concern. </w:t>
      </w:r>
    </w:p>
    <w:p w:rsidR="003B1084" w:rsidRDefault="003B1084" w:rsidP="000B3002">
      <w:pPr>
        <w:widowControl w:val="0"/>
        <w:autoSpaceDE w:val="0"/>
        <w:autoSpaceDN w:val="0"/>
        <w:adjustRightInd w:val="0"/>
        <w:ind w:left="1440" w:hanging="720"/>
      </w:pPr>
    </w:p>
    <w:p w:rsidR="000B3002" w:rsidRDefault="000B3002" w:rsidP="000B3002">
      <w:pPr>
        <w:widowControl w:val="0"/>
        <w:autoSpaceDE w:val="0"/>
        <w:autoSpaceDN w:val="0"/>
        <w:adjustRightInd w:val="0"/>
        <w:ind w:left="1440" w:hanging="720"/>
      </w:pPr>
      <w:r>
        <w:t>h)</w:t>
      </w:r>
      <w:r>
        <w:tab/>
        <w:t xml:space="preserve">In addition to meeting the individual substance objectives, a Hazard Index must be less than or equal to 1 for a mixture of similar-acting substances. </w:t>
      </w:r>
    </w:p>
    <w:p w:rsidR="00D71863" w:rsidRDefault="00D71863" w:rsidP="000B3002">
      <w:pPr>
        <w:widowControl w:val="0"/>
        <w:autoSpaceDE w:val="0"/>
        <w:autoSpaceDN w:val="0"/>
        <w:adjustRightInd w:val="0"/>
        <w:ind w:left="1440" w:hanging="720"/>
      </w:pPr>
    </w:p>
    <w:p w:rsidR="00D71863" w:rsidRPr="00D55B37" w:rsidRDefault="00D71863">
      <w:pPr>
        <w:pStyle w:val="JCARSourceNote"/>
        <w:ind w:left="720"/>
      </w:pPr>
      <w:r w:rsidRPr="00D55B37">
        <w:t xml:space="preserve">(Source:  </w:t>
      </w:r>
      <w:r>
        <w:t>Amended</w:t>
      </w:r>
      <w:r w:rsidRPr="00D55B37">
        <w:t xml:space="preserve"> at </w:t>
      </w:r>
      <w:r>
        <w:t>36 I</w:t>
      </w:r>
      <w:r w:rsidRPr="00D55B37">
        <w:t xml:space="preserve">ll. Reg. </w:t>
      </w:r>
      <w:r w:rsidR="00A734AB">
        <w:t>15206</w:t>
      </w:r>
      <w:r w:rsidRPr="00D55B37">
        <w:t xml:space="preserve">, effective </w:t>
      </w:r>
      <w:bookmarkStart w:id="0" w:name="_GoBack"/>
      <w:r w:rsidR="00A734AB">
        <w:t>October 5, 2012</w:t>
      </w:r>
      <w:bookmarkEnd w:id="0"/>
      <w:r w:rsidRPr="00D55B37">
        <w:t>)</w:t>
      </w:r>
    </w:p>
    <w:sectPr w:rsidR="00D71863" w:rsidRPr="00D55B37" w:rsidSect="000B30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3002"/>
    <w:rsid w:val="000B3002"/>
    <w:rsid w:val="00217D31"/>
    <w:rsid w:val="003A31A6"/>
    <w:rsid w:val="003B1084"/>
    <w:rsid w:val="00543175"/>
    <w:rsid w:val="005C3366"/>
    <w:rsid w:val="00915C3B"/>
    <w:rsid w:val="00A42031"/>
    <w:rsid w:val="00A734AB"/>
    <w:rsid w:val="00C169DC"/>
    <w:rsid w:val="00D60F99"/>
    <w:rsid w:val="00D71863"/>
    <w:rsid w:val="00E20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718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71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Sabo, Cheryl E.</cp:lastModifiedBy>
  <cp:revision>3</cp:revision>
  <dcterms:created xsi:type="dcterms:W3CDTF">2012-08-23T21:18:00Z</dcterms:created>
  <dcterms:modified xsi:type="dcterms:W3CDTF">2012-10-12T18:36:00Z</dcterms:modified>
</cp:coreProperties>
</file>