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42FF5" w14:textId="77777777" w:rsidR="006D724E" w:rsidRPr="006D724E" w:rsidRDefault="006D724E" w:rsidP="006D724E">
      <w:pPr>
        <w:rPr>
          <w:szCs w:val="24"/>
        </w:rPr>
      </w:pPr>
    </w:p>
    <w:p w14:paraId="39C1E298" w14:textId="6C386F3A" w:rsidR="006D724E" w:rsidRDefault="006D724E" w:rsidP="006D724E">
      <w:pPr>
        <w:rPr>
          <w:b/>
          <w:bCs/>
          <w:szCs w:val="24"/>
        </w:rPr>
      </w:pPr>
      <w:r w:rsidRPr="004940B6">
        <w:rPr>
          <w:b/>
          <w:bCs/>
          <w:szCs w:val="24"/>
        </w:rPr>
        <w:t>Section 611.</w:t>
      </w:r>
      <w:r>
        <w:rPr>
          <w:b/>
          <w:bCs/>
          <w:szCs w:val="24"/>
        </w:rPr>
        <w:t>79</w:t>
      </w:r>
      <w:r w:rsidRPr="004940B6">
        <w:rPr>
          <w:b/>
          <w:bCs/>
          <w:szCs w:val="24"/>
        </w:rPr>
        <w:t>05</w:t>
      </w:r>
      <w:r>
        <w:rPr>
          <w:b/>
          <w:bCs/>
          <w:szCs w:val="24"/>
        </w:rPr>
        <w:t xml:space="preserve"> </w:t>
      </w:r>
      <w:r w:rsidRPr="004940B6">
        <w:rPr>
          <w:b/>
          <w:bCs/>
          <w:szCs w:val="24"/>
        </w:rPr>
        <w:t xml:space="preserve"> Violations</w:t>
      </w:r>
    </w:p>
    <w:p w14:paraId="5E1EBF54" w14:textId="77777777" w:rsidR="006D724E" w:rsidRPr="006D724E" w:rsidRDefault="006D724E" w:rsidP="006D724E">
      <w:pPr>
        <w:rPr>
          <w:szCs w:val="24"/>
        </w:rPr>
      </w:pPr>
    </w:p>
    <w:p w14:paraId="5C9ED8C0" w14:textId="407C22BE" w:rsidR="006D724E" w:rsidRDefault="006D724E" w:rsidP="006D724E">
      <w:pPr>
        <w:ind w:left="1440" w:hanging="720"/>
        <w:rPr>
          <w:szCs w:val="24"/>
        </w:rPr>
      </w:pPr>
      <w:r w:rsidRPr="00AE0FA4">
        <w:rPr>
          <w:szCs w:val="24"/>
        </w:rPr>
        <w:t>a)</w:t>
      </w:r>
      <w:r>
        <w:rPr>
          <w:szCs w:val="24"/>
        </w:rPr>
        <w:tab/>
      </w:r>
      <w:r w:rsidRPr="00AE0FA4">
        <w:rPr>
          <w:szCs w:val="24"/>
        </w:rPr>
        <w:t xml:space="preserve">PFAS MCL violations, both for the individual PFOA, PFOS, HFPO-DA, PFHxS, and PFNA MCLs, as well as the Hazard Index MCL, as listed in </w:t>
      </w:r>
      <w:r w:rsidRPr="004940B6">
        <w:rPr>
          <w:szCs w:val="24"/>
        </w:rPr>
        <w:t>Section 611.311(c),</w:t>
      </w:r>
      <w:r w:rsidRPr="00AE0FA4">
        <w:rPr>
          <w:szCs w:val="24"/>
        </w:rPr>
        <w:t xml:space="preserve"> are based on a running annual average, as outlined under </w:t>
      </w:r>
      <w:r w:rsidRPr="004940B6">
        <w:rPr>
          <w:szCs w:val="24"/>
        </w:rPr>
        <w:t>Section 611.</w:t>
      </w:r>
      <w:r>
        <w:rPr>
          <w:szCs w:val="24"/>
        </w:rPr>
        <w:t>79</w:t>
      </w:r>
      <w:r w:rsidRPr="004940B6">
        <w:rPr>
          <w:szCs w:val="24"/>
        </w:rPr>
        <w:t>03</w:t>
      </w:r>
      <w:r w:rsidRPr="00AE0FA4">
        <w:rPr>
          <w:szCs w:val="24"/>
        </w:rPr>
        <w:t>.</w:t>
      </w:r>
    </w:p>
    <w:p w14:paraId="54EE126B" w14:textId="77777777" w:rsidR="006D724E" w:rsidRDefault="006D724E" w:rsidP="00395E93">
      <w:pPr>
        <w:rPr>
          <w:szCs w:val="24"/>
        </w:rPr>
      </w:pPr>
    </w:p>
    <w:p w14:paraId="4C457673" w14:textId="41DBD5B7" w:rsidR="006D724E" w:rsidRDefault="006D724E" w:rsidP="006D724E">
      <w:pPr>
        <w:ind w:left="1440" w:hanging="720"/>
        <w:rPr>
          <w:szCs w:val="24"/>
        </w:rPr>
      </w:pPr>
      <w:r w:rsidRPr="00AE0FA4">
        <w:rPr>
          <w:szCs w:val="24"/>
        </w:rPr>
        <w:t>b)</w:t>
      </w:r>
      <w:r>
        <w:rPr>
          <w:szCs w:val="24"/>
        </w:rPr>
        <w:tab/>
      </w:r>
      <w:r w:rsidRPr="00AE0FA4">
        <w:rPr>
          <w:szCs w:val="24"/>
        </w:rPr>
        <w:t xml:space="preserve">Compliance with </w:t>
      </w:r>
      <w:r w:rsidRPr="004940B6">
        <w:rPr>
          <w:szCs w:val="24"/>
        </w:rPr>
        <w:t>Section 611.311(c)</w:t>
      </w:r>
      <w:r w:rsidRPr="00AE0FA4">
        <w:rPr>
          <w:szCs w:val="24"/>
        </w:rPr>
        <w:t xml:space="preserve"> must be determined based on the analytical results obtained at each sampling point. If one sampling point is in violation of an MCL, the s</w:t>
      </w:r>
      <w:r>
        <w:rPr>
          <w:szCs w:val="24"/>
        </w:rPr>
        <w:t>upplier</w:t>
      </w:r>
      <w:r w:rsidRPr="00AE0FA4">
        <w:rPr>
          <w:szCs w:val="24"/>
        </w:rPr>
        <w:t xml:space="preserve"> is in violation of the MCL.</w:t>
      </w:r>
    </w:p>
    <w:p w14:paraId="1FDE02FB" w14:textId="77777777" w:rsidR="006D724E" w:rsidRDefault="006D724E" w:rsidP="00395E93">
      <w:pPr>
        <w:rPr>
          <w:szCs w:val="24"/>
        </w:rPr>
      </w:pPr>
    </w:p>
    <w:p w14:paraId="23250B90" w14:textId="5D30E688" w:rsidR="006D724E" w:rsidRDefault="006D724E" w:rsidP="006D724E">
      <w:pPr>
        <w:ind w:left="1440" w:hanging="720"/>
        <w:rPr>
          <w:szCs w:val="24"/>
        </w:rPr>
      </w:pPr>
      <w:r w:rsidRPr="005043AD">
        <w:rPr>
          <w:szCs w:val="24"/>
        </w:rPr>
        <w:t>c)</w:t>
      </w:r>
      <w:r>
        <w:rPr>
          <w:szCs w:val="24"/>
        </w:rPr>
        <w:tab/>
      </w:r>
      <w:r w:rsidRPr="005043AD">
        <w:rPr>
          <w:szCs w:val="24"/>
        </w:rPr>
        <w:t xml:space="preserve">Each failure to monitor in </w:t>
      </w:r>
      <w:r>
        <w:rPr>
          <w:szCs w:val="24"/>
        </w:rPr>
        <w:t>compliance</w:t>
      </w:r>
      <w:r w:rsidRPr="005043AD">
        <w:rPr>
          <w:szCs w:val="24"/>
        </w:rPr>
        <w:t xml:space="preserve"> with the requirements under </w:t>
      </w:r>
      <w:r w:rsidRPr="004940B6">
        <w:rPr>
          <w:szCs w:val="24"/>
        </w:rPr>
        <w:t>Section 611.</w:t>
      </w:r>
      <w:r>
        <w:rPr>
          <w:szCs w:val="24"/>
        </w:rPr>
        <w:t>79</w:t>
      </w:r>
      <w:r w:rsidRPr="004940B6">
        <w:rPr>
          <w:szCs w:val="24"/>
        </w:rPr>
        <w:t>02</w:t>
      </w:r>
      <w:r w:rsidRPr="005043AD">
        <w:rPr>
          <w:szCs w:val="24"/>
        </w:rPr>
        <w:t xml:space="preserve"> is a monitoring violation.</w:t>
      </w:r>
    </w:p>
    <w:p w14:paraId="5F394583" w14:textId="77777777" w:rsidR="006D724E" w:rsidRDefault="006D724E" w:rsidP="00395E93">
      <w:pPr>
        <w:rPr>
          <w:szCs w:val="24"/>
        </w:rPr>
      </w:pPr>
    </w:p>
    <w:p w14:paraId="332CA741" w14:textId="47BADDEA" w:rsidR="006D724E" w:rsidRDefault="006D724E" w:rsidP="006D724E">
      <w:pPr>
        <w:ind w:left="1440" w:hanging="720"/>
        <w:rPr>
          <w:szCs w:val="24"/>
        </w:rPr>
      </w:pPr>
      <w:r w:rsidRPr="007E412E">
        <w:rPr>
          <w:szCs w:val="24"/>
        </w:rPr>
        <w:t>d)</w:t>
      </w:r>
      <w:r>
        <w:rPr>
          <w:szCs w:val="24"/>
        </w:rPr>
        <w:tab/>
      </w:r>
      <w:r w:rsidRPr="007E412E">
        <w:rPr>
          <w:szCs w:val="24"/>
        </w:rPr>
        <w:t xml:space="preserve">Failure to notify the </w:t>
      </w:r>
      <w:r>
        <w:rPr>
          <w:szCs w:val="24"/>
        </w:rPr>
        <w:t>Agency</w:t>
      </w:r>
      <w:r w:rsidRPr="007E412E">
        <w:rPr>
          <w:szCs w:val="24"/>
        </w:rPr>
        <w:t xml:space="preserve"> following a MCL violation and failure to submit monitoring data in </w:t>
      </w:r>
      <w:r>
        <w:rPr>
          <w:szCs w:val="24"/>
        </w:rPr>
        <w:t>compliance</w:t>
      </w:r>
      <w:r w:rsidRPr="007E412E">
        <w:rPr>
          <w:szCs w:val="24"/>
        </w:rPr>
        <w:t xml:space="preserve"> with the requirements of Section</w:t>
      </w:r>
      <w:r>
        <w:rPr>
          <w:szCs w:val="24"/>
        </w:rPr>
        <w:t>s</w:t>
      </w:r>
      <w:r w:rsidRPr="007E412E">
        <w:rPr>
          <w:szCs w:val="24"/>
        </w:rPr>
        <w:t xml:space="preserve"> 611.</w:t>
      </w:r>
      <w:r>
        <w:rPr>
          <w:szCs w:val="24"/>
        </w:rPr>
        <w:t>79</w:t>
      </w:r>
      <w:r w:rsidRPr="007E412E">
        <w:rPr>
          <w:szCs w:val="24"/>
        </w:rPr>
        <w:t>04 and 611.840 are reporting violations.</w:t>
      </w:r>
    </w:p>
    <w:p w14:paraId="53193B55" w14:textId="77777777" w:rsidR="006D724E" w:rsidRDefault="006D724E" w:rsidP="00395E93">
      <w:pPr>
        <w:rPr>
          <w:szCs w:val="24"/>
        </w:rPr>
      </w:pPr>
    </w:p>
    <w:p w14:paraId="0A061A1A" w14:textId="6E27D8F2" w:rsidR="006D724E" w:rsidRDefault="006D724E" w:rsidP="006D724E">
      <w:pPr>
        <w:ind w:left="1440" w:hanging="720"/>
        <w:rPr>
          <w:szCs w:val="24"/>
        </w:rPr>
      </w:pPr>
      <w:r w:rsidRPr="00841A24">
        <w:rPr>
          <w:szCs w:val="24"/>
        </w:rPr>
        <w:t>e)</w:t>
      </w:r>
      <w:r>
        <w:rPr>
          <w:szCs w:val="24"/>
        </w:rPr>
        <w:tab/>
      </w:r>
      <w:r w:rsidRPr="00841A24">
        <w:rPr>
          <w:szCs w:val="24"/>
        </w:rPr>
        <w:t xml:space="preserve">Results for PFAS with individual MCLs as listed in Section 611.311(c) are compared to their respective MCLs, and results for mixtures of two or more of the Hazard Index PFAS (HFPO-DA, PFBS, PFHxS, and PFNA) are compared to the Hazard Index MCL as listed </w:t>
      </w:r>
      <w:r w:rsidRPr="004940B6">
        <w:rPr>
          <w:szCs w:val="24"/>
        </w:rPr>
        <w:t>in Section 611.311(c).</w:t>
      </w:r>
      <w:r w:rsidRPr="00841A24">
        <w:rPr>
          <w:szCs w:val="24"/>
        </w:rPr>
        <w:t xml:space="preserve"> </w:t>
      </w:r>
      <w:r>
        <w:rPr>
          <w:szCs w:val="24"/>
        </w:rPr>
        <w:t xml:space="preserve"> </w:t>
      </w:r>
      <w:r w:rsidRPr="00841A24">
        <w:rPr>
          <w:szCs w:val="24"/>
        </w:rPr>
        <w:t xml:space="preserve">For determining compliance with the Hazard Index MCL, if only PFBS is reported at any concentration and no other regulated PFAS are in the mixture, it is not a violation of the Hazard Index MCL. </w:t>
      </w:r>
      <w:r>
        <w:rPr>
          <w:szCs w:val="24"/>
        </w:rPr>
        <w:t xml:space="preserve"> </w:t>
      </w:r>
      <w:r w:rsidRPr="00841A24">
        <w:rPr>
          <w:szCs w:val="24"/>
        </w:rPr>
        <w:t>If only one of the other PFAS within the Hazard Index (HFPO-DA, PFHxS, or PFNA) is detected and the level of this PFAS exceeds its MCL as determined by Section 611.</w:t>
      </w:r>
      <w:r>
        <w:rPr>
          <w:szCs w:val="24"/>
        </w:rPr>
        <w:t>79</w:t>
      </w:r>
      <w:r w:rsidRPr="00841A24">
        <w:rPr>
          <w:szCs w:val="24"/>
        </w:rPr>
        <w:t>03</w:t>
      </w:r>
      <w:r w:rsidRPr="004940B6">
        <w:rPr>
          <w:szCs w:val="24"/>
        </w:rPr>
        <w:t>(f)(1)(A),</w:t>
      </w:r>
      <w:r w:rsidRPr="00841A24">
        <w:rPr>
          <w:szCs w:val="24"/>
        </w:rPr>
        <w:t xml:space="preserve"> only an individual MCL violation is assessed for the individual PFAS detected, and it is not a violation of the Hazard Index MCL. </w:t>
      </w:r>
      <w:r>
        <w:rPr>
          <w:szCs w:val="24"/>
        </w:rPr>
        <w:t xml:space="preserve"> </w:t>
      </w:r>
      <w:r w:rsidRPr="00841A24">
        <w:rPr>
          <w:szCs w:val="24"/>
        </w:rPr>
        <w:t xml:space="preserve">Exceedances of the Hazard Index caused by two or more of the Hazard Index PFAS (HFPO-DA, PFBS, PFHxS, or PFNA) and exceedances of one or more individual MCLs can result in multiple MCL exceedances. </w:t>
      </w:r>
      <w:r>
        <w:rPr>
          <w:szCs w:val="24"/>
        </w:rPr>
        <w:t xml:space="preserve"> </w:t>
      </w:r>
      <w:r w:rsidRPr="004940B6">
        <w:rPr>
          <w:szCs w:val="24"/>
        </w:rPr>
        <w:t>However, in this instance, for purposes of public notification under Section 611.APPENDIX G</w:t>
      </w:r>
      <w:r>
        <w:rPr>
          <w:szCs w:val="24"/>
        </w:rPr>
        <w:t xml:space="preserve"> </w:t>
      </w:r>
      <w:r w:rsidRPr="004940B6">
        <w:rPr>
          <w:szCs w:val="24"/>
        </w:rPr>
        <w:t xml:space="preserve">of this part, a PWS </w:t>
      </w:r>
      <w:r>
        <w:rPr>
          <w:szCs w:val="24"/>
        </w:rPr>
        <w:t xml:space="preserve">supplier </w:t>
      </w:r>
      <w:r w:rsidRPr="004940B6">
        <w:rPr>
          <w:szCs w:val="24"/>
        </w:rPr>
        <w:t>must only report the Hazard Index MCL exceedance.</w:t>
      </w:r>
    </w:p>
    <w:p w14:paraId="27241257" w14:textId="77777777" w:rsidR="006D724E" w:rsidRDefault="006D724E" w:rsidP="00395E93">
      <w:pPr>
        <w:rPr>
          <w:szCs w:val="24"/>
        </w:rPr>
      </w:pPr>
    </w:p>
    <w:p w14:paraId="2DE0649B" w14:textId="77777777" w:rsidR="006D724E" w:rsidRDefault="006D724E" w:rsidP="006D724E">
      <w:pPr>
        <w:rPr>
          <w:rFonts w:eastAsia="Calibri"/>
        </w:rPr>
      </w:pPr>
      <w:r w:rsidRPr="003B4362">
        <w:rPr>
          <w:rFonts w:eastAsia="Calibri"/>
        </w:rPr>
        <w:t xml:space="preserve">BOARD NOTE:  </w:t>
      </w:r>
      <w:r w:rsidRPr="003B4362">
        <w:rPr>
          <w:rFonts w:eastAsia="Calibri"/>
          <w:spacing w:val="-3"/>
        </w:rPr>
        <w:t xml:space="preserve">This Section derives </w:t>
      </w:r>
      <w:r w:rsidRPr="003B4362">
        <w:rPr>
          <w:rFonts w:eastAsia="Calibri"/>
        </w:rPr>
        <w:t>from 40 CFR 141.90</w:t>
      </w:r>
      <w:r>
        <w:rPr>
          <w:rFonts w:eastAsia="Calibri"/>
        </w:rPr>
        <w:t>5</w:t>
      </w:r>
    </w:p>
    <w:p w14:paraId="13BC0475" w14:textId="77777777" w:rsidR="006D724E" w:rsidRDefault="006D724E" w:rsidP="00093935"/>
    <w:p w14:paraId="33C9D165" w14:textId="25F38B4C" w:rsidR="000174EB" w:rsidRPr="00093935" w:rsidRDefault="006D724E" w:rsidP="006D724E">
      <w:pPr>
        <w:ind w:firstLine="720"/>
      </w:pPr>
      <w:r w:rsidRPr="00EE0FDC">
        <w:t xml:space="preserve">(Source:  Added at </w:t>
      </w:r>
      <w:r w:rsidR="00D76D4D">
        <w:t>50</w:t>
      </w:r>
      <w:r w:rsidRPr="00EE0FDC">
        <w:t xml:space="preserve"> Ill. Reg. </w:t>
      </w:r>
      <w:r w:rsidR="00534D3A">
        <w:t>2531</w:t>
      </w:r>
      <w:r w:rsidRPr="00EE0FDC">
        <w:t xml:space="preserve">, effective </w:t>
      </w:r>
      <w:r w:rsidR="00534D3A">
        <w:t>February 17, 2026</w:t>
      </w:r>
      <w:r w:rsidRPr="00EE0FDC">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C9EAD" w14:textId="77777777" w:rsidR="00FB0086" w:rsidRDefault="00FB0086">
      <w:r>
        <w:separator/>
      </w:r>
    </w:p>
  </w:endnote>
  <w:endnote w:type="continuationSeparator" w:id="0">
    <w:p w14:paraId="1C1D9D85" w14:textId="77777777" w:rsidR="00FB0086" w:rsidRDefault="00FB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2CFAE" w14:textId="77777777" w:rsidR="00FB0086" w:rsidRDefault="00FB0086">
      <w:r>
        <w:separator/>
      </w:r>
    </w:p>
  </w:footnote>
  <w:footnote w:type="continuationSeparator" w:id="0">
    <w:p w14:paraId="317D14AD" w14:textId="77777777" w:rsidR="00FB0086" w:rsidRDefault="00FB0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8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5E93"/>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D3A"/>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724E"/>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6D4D"/>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E59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0086"/>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46E74"/>
  <w15:chartTrackingRefBased/>
  <w15:docId w15:val="{93009FB5-6EDD-4EA1-ABF6-BAA6E51F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724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1721</Characters>
  <Application>Microsoft Office Word</Application>
  <DocSecurity>0</DocSecurity>
  <Lines>14</Lines>
  <Paragraphs>4</Paragraphs>
  <ScaleCrop>false</ScaleCrop>
  <Company>Illinois General Assembly</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2026-02-25T13:50:00Z</dcterms:created>
  <dcterms:modified xsi:type="dcterms:W3CDTF">2026-02-27T15:52:00Z</dcterms:modified>
</cp:coreProperties>
</file>