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78DD" w14:textId="77777777" w:rsidR="00824107" w:rsidRPr="00824107" w:rsidRDefault="00824107" w:rsidP="00824107">
      <w:pPr>
        <w:rPr>
          <w:szCs w:val="24"/>
        </w:rPr>
      </w:pPr>
    </w:p>
    <w:p w14:paraId="4EEA9C0F" w14:textId="6480F316" w:rsidR="00824107" w:rsidRDefault="00824107" w:rsidP="00824107">
      <w:pPr>
        <w:rPr>
          <w:szCs w:val="24"/>
        </w:rPr>
      </w:pPr>
      <w:r w:rsidRPr="004940B6">
        <w:rPr>
          <w:b/>
          <w:bCs/>
          <w:szCs w:val="24"/>
        </w:rPr>
        <w:t>Section 611.</w:t>
      </w:r>
      <w:r>
        <w:rPr>
          <w:b/>
          <w:bCs/>
          <w:szCs w:val="24"/>
        </w:rPr>
        <w:t>79</w:t>
      </w:r>
      <w:r w:rsidRPr="004940B6">
        <w:rPr>
          <w:b/>
          <w:bCs/>
          <w:szCs w:val="24"/>
        </w:rPr>
        <w:t xml:space="preserve">02 </w:t>
      </w:r>
      <w:r>
        <w:rPr>
          <w:b/>
          <w:bCs/>
          <w:szCs w:val="24"/>
        </w:rPr>
        <w:t xml:space="preserve"> </w:t>
      </w:r>
      <w:r w:rsidRPr="004940B6">
        <w:rPr>
          <w:b/>
          <w:bCs/>
          <w:szCs w:val="24"/>
        </w:rPr>
        <w:t>Monitoring Requirements</w:t>
      </w:r>
    </w:p>
    <w:p w14:paraId="1971C5AA" w14:textId="77777777" w:rsidR="00824107" w:rsidRPr="00215189" w:rsidRDefault="00824107" w:rsidP="00824107">
      <w:pPr>
        <w:rPr>
          <w:szCs w:val="24"/>
        </w:rPr>
      </w:pPr>
    </w:p>
    <w:p w14:paraId="3CB8D8E9" w14:textId="1A7A61FF" w:rsidR="00824107" w:rsidRDefault="00824107" w:rsidP="00824107">
      <w:pPr>
        <w:ind w:left="720"/>
        <w:rPr>
          <w:szCs w:val="24"/>
        </w:rPr>
      </w:pPr>
      <w:r w:rsidRPr="007E412E">
        <w:rPr>
          <w:szCs w:val="24"/>
        </w:rPr>
        <w:t>a)</w:t>
      </w:r>
      <w:r>
        <w:rPr>
          <w:szCs w:val="24"/>
        </w:rPr>
        <w:tab/>
      </w:r>
      <w:r w:rsidRPr="007E412E">
        <w:rPr>
          <w:szCs w:val="24"/>
        </w:rPr>
        <w:t xml:space="preserve">General requirements </w:t>
      </w:r>
    </w:p>
    <w:p w14:paraId="1A66276E" w14:textId="77777777" w:rsidR="00824107" w:rsidRDefault="00824107" w:rsidP="00554269">
      <w:pPr>
        <w:rPr>
          <w:szCs w:val="24"/>
        </w:rPr>
      </w:pPr>
    </w:p>
    <w:p w14:paraId="5C03770F" w14:textId="61C9D07D" w:rsidR="00824107" w:rsidRDefault="00824107" w:rsidP="00824107">
      <w:pPr>
        <w:ind w:left="2160" w:hanging="720"/>
        <w:rPr>
          <w:szCs w:val="24"/>
        </w:rPr>
      </w:pPr>
      <w:r w:rsidRPr="007E412E">
        <w:rPr>
          <w:szCs w:val="24"/>
        </w:rPr>
        <w:t>1)</w:t>
      </w:r>
      <w:r>
        <w:rPr>
          <w:szCs w:val="24"/>
        </w:rPr>
        <w:tab/>
        <w:t>Suppliers</w:t>
      </w:r>
      <w:r w:rsidRPr="007E412E">
        <w:rPr>
          <w:szCs w:val="24"/>
        </w:rPr>
        <w:t xml:space="preserve"> must take all samples during normal operating conditions at all entry points to the distribution system.</w:t>
      </w:r>
    </w:p>
    <w:p w14:paraId="0BFB5AF6" w14:textId="77777777" w:rsidR="00824107" w:rsidRDefault="00824107" w:rsidP="00554269">
      <w:pPr>
        <w:rPr>
          <w:szCs w:val="24"/>
        </w:rPr>
      </w:pPr>
    </w:p>
    <w:p w14:paraId="44DD410B" w14:textId="1CF3CB71" w:rsidR="00824107" w:rsidRDefault="00824107" w:rsidP="00824107">
      <w:pPr>
        <w:ind w:left="2160" w:hanging="720"/>
        <w:rPr>
          <w:szCs w:val="24"/>
        </w:rPr>
      </w:pPr>
      <w:r w:rsidRPr="007E412E">
        <w:rPr>
          <w:szCs w:val="24"/>
        </w:rPr>
        <w:t>2)</w:t>
      </w:r>
      <w:r>
        <w:rPr>
          <w:szCs w:val="24"/>
        </w:rPr>
        <w:tab/>
      </w:r>
      <w:r w:rsidRPr="007E412E">
        <w:rPr>
          <w:szCs w:val="24"/>
        </w:rPr>
        <w:t>If the s</w:t>
      </w:r>
      <w:r>
        <w:rPr>
          <w:szCs w:val="24"/>
        </w:rPr>
        <w:t>upplier</w:t>
      </w:r>
      <w:r w:rsidRPr="007E412E">
        <w:rPr>
          <w:szCs w:val="24"/>
        </w:rPr>
        <w:t xml:space="preserve"> draws water from more than one source and the sources are combined before distribution, the s</w:t>
      </w:r>
      <w:r>
        <w:rPr>
          <w:szCs w:val="24"/>
        </w:rPr>
        <w:t>upplier</w:t>
      </w:r>
      <w:r w:rsidRPr="007E412E">
        <w:rPr>
          <w:szCs w:val="24"/>
        </w:rPr>
        <w:t xml:space="preserve"> must sample at an entry point to the distribution system during periods of representative operating conditions.</w:t>
      </w:r>
    </w:p>
    <w:p w14:paraId="77152D3E" w14:textId="77777777" w:rsidR="00824107" w:rsidRDefault="00824107" w:rsidP="00554269">
      <w:pPr>
        <w:rPr>
          <w:szCs w:val="24"/>
        </w:rPr>
      </w:pPr>
    </w:p>
    <w:p w14:paraId="02759319" w14:textId="07FB0C90" w:rsidR="00824107" w:rsidRDefault="00824107" w:rsidP="00824107">
      <w:pPr>
        <w:ind w:left="2160" w:hanging="720"/>
        <w:rPr>
          <w:szCs w:val="24"/>
        </w:rPr>
      </w:pPr>
      <w:r w:rsidRPr="007E412E">
        <w:rPr>
          <w:szCs w:val="24"/>
        </w:rPr>
        <w:t>3)</w:t>
      </w:r>
      <w:r>
        <w:rPr>
          <w:szCs w:val="24"/>
        </w:rPr>
        <w:tab/>
        <w:t>Suppliers</w:t>
      </w:r>
      <w:r w:rsidRPr="007E412E">
        <w:rPr>
          <w:szCs w:val="24"/>
        </w:rPr>
        <w:t xml:space="preserve"> must use only data collected under the provisions of this </w:t>
      </w:r>
      <w:r>
        <w:rPr>
          <w:szCs w:val="24"/>
        </w:rPr>
        <w:t>S</w:t>
      </w:r>
      <w:r w:rsidRPr="007E412E">
        <w:rPr>
          <w:szCs w:val="24"/>
        </w:rPr>
        <w:t>ubpart</w:t>
      </w:r>
      <w:r>
        <w:rPr>
          <w:szCs w:val="24"/>
        </w:rPr>
        <w:t xml:space="preserve"> AZ</w:t>
      </w:r>
      <w:r w:rsidRPr="007E412E">
        <w:rPr>
          <w:szCs w:val="24"/>
        </w:rPr>
        <w:t xml:space="preserve"> to qualify for reduced monitoring.</w:t>
      </w:r>
    </w:p>
    <w:p w14:paraId="7398C506" w14:textId="77777777" w:rsidR="00824107" w:rsidRDefault="00824107" w:rsidP="00554269">
      <w:pPr>
        <w:rPr>
          <w:szCs w:val="24"/>
        </w:rPr>
      </w:pPr>
    </w:p>
    <w:p w14:paraId="46CB780F" w14:textId="1F26B6C7" w:rsidR="00824107" w:rsidRDefault="00824107" w:rsidP="00824107">
      <w:pPr>
        <w:ind w:left="2160" w:hanging="720"/>
        <w:rPr>
          <w:szCs w:val="24"/>
        </w:rPr>
      </w:pPr>
      <w:r w:rsidRPr="007E412E">
        <w:rPr>
          <w:szCs w:val="24"/>
        </w:rPr>
        <w:t>4)</w:t>
      </w:r>
      <w:r>
        <w:rPr>
          <w:szCs w:val="24"/>
        </w:rPr>
        <w:tab/>
      </w:r>
      <w:r w:rsidRPr="007E412E">
        <w:rPr>
          <w:szCs w:val="24"/>
        </w:rPr>
        <w:t xml:space="preserve">All new </w:t>
      </w:r>
      <w:r>
        <w:rPr>
          <w:szCs w:val="24"/>
        </w:rPr>
        <w:t>suppliers</w:t>
      </w:r>
      <w:r w:rsidRPr="007E412E">
        <w:rPr>
          <w:szCs w:val="24"/>
        </w:rPr>
        <w:t xml:space="preserve"> that begin operation after, or s</w:t>
      </w:r>
      <w:r>
        <w:rPr>
          <w:szCs w:val="24"/>
        </w:rPr>
        <w:t>uppliers</w:t>
      </w:r>
      <w:r w:rsidRPr="007E412E">
        <w:rPr>
          <w:szCs w:val="24"/>
        </w:rPr>
        <w:t xml:space="preserve"> that use a new source of water after April 26, 2027, must demonstrate compliance with the MCLs within a period of time specified by the </w:t>
      </w:r>
      <w:r>
        <w:rPr>
          <w:szCs w:val="24"/>
        </w:rPr>
        <w:t>Agency</w:t>
      </w:r>
      <w:r w:rsidRPr="007E412E">
        <w:rPr>
          <w:szCs w:val="24"/>
        </w:rPr>
        <w:t xml:space="preserve">. </w:t>
      </w:r>
      <w:r>
        <w:rPr>
          <w:szCs w:val="24"/>
        </w:rPr>
        <w:t xml:space="preserve"> </w:t>
      </w:r>
      <w:r w:rsidRPr="007E412E">
        <w:rPr>
          <w:szCs w:val="24"/>
        </w:rPr>
        <w:t xml:space="preserve">A </w:t>
      </w:r>
      <w:r>
        <w:rPr>
          <w:szCs w:val="24"/>
        </w:rPr>
        <w:t>supplier</w:t>
      </w:r>
      <w:r w:rsidRPr="007E412E">
        <w:rPr>
          <w:szCs w:val="24"/>
        </w:rPr>
        <w:t xml:space="preserve"> must also comply with initial sampling frequencies required by the </w:t>
      </w:r>
      <w:r>
        <w:rPr>
          <w:szCs w:val="24"/>
        </w:rPr>
        <w:t>Agency</w:t>
      </w:r>
      <w:r w:rsidRPr="007E412E">
        <w:rPr>
          <w:szCs w:val="24"/>
        </w:rPr>
        <w:t xml:space="preserve"> to ensure the </w:t>
      </w:r>
      <w:r>
        <w:rPr>
          <w:szCs w:val="24"/>
        </w:rPr>
        <w:t>supplier</w:t>
      </w:r>
      <w:r w:rsidRPr="007E412E">
        <w:rPr>
          <w:szCs w:val="24"/>
        </w:rPr>
        <w:t xml:space="preserve"> can demonstrate compliance with the MCLs. </w:t>
      </w:r>
      <w:r>
        <w:rPr>
          <w:szCs w:val="24"/>
        </w:rPr>
        <w:t xml:space="preserve"> </w:t>
      </w:r>
      <w:r w:rsidRPr="007E412E">
        <w:rPr>
          <w:szCs w:val="24"/>
        </w:rPr>
        <w:t xml:space="preserve">Compliance monitoring frequencies must be conducted in </w:t>
      </w:r>
      <w:r>
        <w:rPr>
          <w:szCs w:val="24"/>
        </w:rPr>
        <w:t>compliance</w:t>
      </w:r>
      <w:r w:rsidRPr="007E412E">
        <w:rPr>
          <w:szCs w:val="24"/>
        </w:rPr>
        <w:t xml:space="preserve"> with this </w:t>
      </w:r>
      <w:r>
        <w:rPr>
          <w:szCs w:val="24"/>
        </w:rPr>
        <w:t>S</w:t>
      </w:r>
      <w:r w:rsidRPr="007E412E">
        <w:rPr>
          <w:szCs w:val="24"/>
        </w:rPr>
        <w:t>ection.</w:t>
      </w:r>
    </w:p>
    <w:p w14:paraId="06C9B231" w14:textId="77777777" w:rsidR="00824107" w:rsidRDefault="00824107" w:rsidP="00554269">
      <w:pPr>
        <w:rPr>
          <w:szCs w:val="24"/>
        </w:rPr>
      </w:pPr>
    </w:p>
    <w:p w14:paraId="02C5B402" w14:textId="20DDA30C" w:rsidR="00824107" w:rsidRDefault="00824107" w:rsidP="00824107">
      <w:pPr>
        <w:ind w:left="2160" w:hanging="720"/>
        <w:rPr>
          <w:szCs w:val="24"/>
        </w:rPr>
      </w:pPr>
      <w:r w:rsidRPr="007E412E">
        <w:rPr>
          <w:szCs w:val="24"/>
        </w:rPr>
        <w:t>5)</w:t>
      </w:r>
      <w:r>
        <w:rPr>
          <w:szCs w:val="24"/>
        </w:rPr>
        <w:tab/>
      </w:r>
      <w:r w:rsidRPr="007E412E">
        <w:rPr>
          <w:szCs w:val="24"/>
        </w:rPr>
        <w:t xml:space="preserve">For purposes of this </w:t>
      </w:r>
      <w:r>
        <w:rPr>
          <w:szCs w:val="24"/>
        </w:rPr>
        <w:t>S</w:t>
      </w:r>
      <w:r w:rsidRPr="007E412E">
        <w:rPr>
          <w:szCs w:val="24"/>
        </w:rPr>
        <w:t xml:space="preserve">ection, the trigger levels are defined as shown in the following </w:t>
      </w:r>
      <w:r>
        <w:rPr>
          <w:szCs w:val="24"/>
        </w:rPr>
        <w:t>T</w:t>
      </w:r>
      <w:r w:rsidRPr="007E412E">
        <w:rPr>
          <w:szCs w:val="24"/>
        </w:rPr>
        <w:t>able</w:t>
      </w:r>
      <w:r>
        <w:rPr>
          <w:szCs w:val="24"/>
        </w:rPr>
        <w:t xml:space="preserve"> 1</w:t>
      </w:r>
      <w:r w:rsidRPr="007E412E">
        <w:rPr>
          <w:szCs w:val="24"/>
        </w:rPr>
        <w:t>.</w:t>
      </w:r>
    </w:p>
    <w:p w14:paraId="759758A9" w14:textId="77777777" w:rsidR="00824107" w:rsidRDefault="00824107" w:rsidP="00554269">
      <w:pPr>
        <w:rPr>
          <w:szCs w:val="24"/>
        </w:rPr>
      </w:pPr>
    </w:p>
    <w:p w14:paraId="4A31447B" w14:textId="77777777" w:rsidR="00824107" w:rsidRDefault="00824107" w:rsidP="00315927">
      <w:pPr>
        <w:ind w:left="720" w:firstLine="720"/>
        <w:rPr>
          <w:szCs w:val="24"/>
        </w:rPr>
      </w:pPr>
      <w:r w:rsidRPr="004940B6">
        <w:rPr>
          <w:szCs w:val="24"/>
        </w:rPr>
        <w:t>Section 611.</w:t>
      </w:r>
      <w:r>
        <w:rPr>
          <w:szCs w:val="24"/>
        </w:rPr>
        <w:t>79</w:t>
      </w:r>
      <w:r w:rsidRPr="004940B6">
        <w:rPr>
          <w:szCs w:val="24"/>
        </w:rPr>
        <w:t>02 (a)(5)</w:t>
      </w:r>
      <w:r>
        <w:rPr>
          <w:szCs w:val="24"/>
        </w:rPr>
        <w:t xml:space="preserve"> TABLE 1: </w:t>
      </w:r>
      <w:r w:rsidRPr="004940B6">
        <w:rPr>
          <w:szCs w:val="24"/>
        </w:rPr>
        <w:t xml:space="preserve"> </w:t>
      </w:r>
      <w:r w:rsidRPr="00215189">
        <w:rPr>
          <w:szCs w:val="24"/>
        </w:rPr>
        <w:t>Trigger Levels for PFAS Contaminants</w:t>
      </w:r>
    </w:p>
    <w:p w14:paraId="5F1D019E" w14:textId="77777777" w:rsidR="00824107" w:rsidRPr="00215189" w:rsidRDefault="00824107" w:rsidP="00554269">
      <w:pPr>
        <w:rPr>
          <w:szCs w:val="24"/>
        </w:rPr>
      </w:pPr>
    </w:p>
    <w:tbl>
      <w:tblPr>
        <w:tblStyle w:val="TableGrid"/>
        <w:tblW w:w="8010" w:type="dxa"/>
        <w:tblInd w:w="1435" w:type="dxa"/>
        <w:tblLook w:val="04A0" w:firstRow="1" w:lastRow="0" w:firstColumn="1" w:lastColumn="0" w:noHBand="0" w:noVBand="1"/>
      </w:tblPr>
      <w:tblGrid>
        <w:gridCol w:w="5675"/>
        <w:gridCol w:w="2335"/>
      </w:tblGrid>
      <w:tr w:rsidR="00824107" w:rsidRPr="007E412E" w14:paraId="21BE2815" w14:textId="77777777" w:rsidTr="00315927">
        <w:tc>
          <w:tcPr>
            <w:tcW w:w="5675" w:type="dxa"/>
          </w:tcPr>
          <w:p w14:paraId="76D3E98E" w14:textId="77777777" w:rsidR="00824107" w:rsidRPr="007E412E" w:rsidRDefault="00824107" w:rsidP="00B01A96">
            <w:pPr>
              <w:spacing w:before="240" w:after="240"/>
              <w:jc w:val="center"/>
              <w:rPr>
                <w:szCs w:val="24"/>
              </w:rPr>
            </w:pPr>
            <w:r w:rsidRPr="004940B6">
              <w:rPr>
                <w:szCs w:val="24"/>
              </w:rPr>
              <w:t>Contaminant</w:t>
            </w:r>
          </w:p>
        </w:tc>
        <w:tc>
          <w:tcPr>
            <w:tcW w:w="2335" w:type="dxa"/>
          </w:tcPr>
          <w:p w14:paraId="3AB3E0A7" w14:textId="77777777" w:rsidR="00824107" w:rsidRPr="007E412E" w:rsidRDefault="00824107" w:rsidP="00B01A96">
            <w:pPr>
              <w:spacing w:before="240" w:after="240"/>
              <w:jc w:val="center"/>
              <w:rPr>
                <w:szCs w:val="24"/>
              </w:rPr>
            </w:pPr>
            <w:r w:rsidRPr="004940B6">
              <w:rPr>
                <w:szCs w:val="24"/>
              </w:rPr>
              <w:t>Trigger Level</w:t>
            </w:r>
          </w:p>
        </w:tc>
      </w:tr>
      <w:tr w:rsidR="00824107" w:rsidRPr="007E412E" w14:paraId="3141EC0A" w14:textId="77777777" w:rsidTr="00315927">
        <w:trPr>
          <w:trHeight w:val="20"/>
        </w:trPr>
        <w:tc>
          <w:tcPr>
            <w:tcW w:w="5675" w:type="dxa"/>
          </w:tcPr>
          <w:p w14:paraId="17147710" w14:textId="77777777" w:rsidR="00824107" w:rsidRPr="007E412E" w:rsidRDefault="00824107" w:rsidP="00B01A96">
            <w:pPr>
              <w:spacing w:after="240"/>
              <w:rPr>
                <w:szCs w:val="24"/>
              </w:rPr>
            </w:pPr>
            <w:r w:rsidRPr="004940B6">
              <w:rPr>
                <w:szCs w:val="24"/>
              </w:rPr>
              <w:t>Hazard Index PFAS (HFPO-DA, PFBS, PFHxS, PFNA)</w:t>
            </w:r>
          </w:p>
        </w:tc>
        <w:tc>
          <w:tcPr>
            <w:tcW w:w="2335" w:type="dxa"/>
          </w:tcPr>
          <w:p w14:paraId="07285497" w14:textId="77777777" w:rsidR="00824107" w:rsidRPr="007E412E" w:rsidRDefault="00824107" w:rsidP="00B01A96">
            <w:pPr>
              <w:spacing w:after="240"/>
              <w:rPr>
                <w:szCs w:val="24"/>
              </w:rPr>
            </w:pPr>
            <w:r w:rsidRPr="004940B6">
              <w:rPr>
                <w:szCs w:val="24"/>
              </w:rPr>
              <w:t>0.5 (unitless)</w:t>
            </w:r>
          </w:p>
        </w:tc>
      </w:tr>
      <w:tr w:rsidR="00824107" w:rsidRPr="007E412E" w14:paraId="6AEE4296" w14:textId="77777777" w:rsidTr="00315927">
        <w:trPr>
          <w:trHeight w:val="20"/>
        </w:trPr>
        <w:tc>
          <w:tcPr>
            <w:tcW w:w="5675" w:type="dxa"/>
          </w:tcPr>
          <w:p w14:paraId="4909048A" w14:textId="77777777" w:rsidR="00824107" w:rsidRPr="007E412E" w:rsidRDefault="00824107" w:rsidP="00B01A96">
            <w:pPr>
              <w:spacing w:after="240"/>
              <w:rPr>
                <w:szCs w:val="24"/>
              </w:rPr>
            </w:pPr>
            <w:r w:rsidRPr="004940B6">
              <w:rPr>
                <w:szCs w:val="24"/>
              </w:rPr>
              <w:t>HFPO-DA</w:t>
            </w:r>
          </w:p>
        </w:tc>
        <w:tc>
          <w:tcPr>
            <w:tcW w:w="2335" w:type="dxa"/>
          </w:tcPr>
          <w:p w14:paraId="79FFF1DA" w14:textId="77777777" w:rsidR="00824107" w:rsidRPr="007E412E" w:rsidRDefault="00824107" w:rsidP="00B01A96">
            <w:pPr>
              <w:spacing w:after="240"/>
              <w:rPr>
                <w:szCs w:val="24"/>
              </w:rPr>
            </w:pPr>
            <w:r w:rsidRPr="004940B6">
              <w:rPr>
                <w:szCs w:val="24"/>
              </w:rPr>
              <w:t>5</w:t>
            </w:r>
            <w:r>
              <w:rPr>
                <w:szCs w:val="24"/>
              </w:rPr>
              <w:t xml:space="preserve"> nanograms per liter </w:t>
            </w:r>
            <w:r w:rsidRPr="004940B6">
              <w:rPr>
                <w:szCs w:val="24"/>
              </w:rPr>
              <w:t>(ng/l)</w:t>
            </w:r>
            <w:r>
              <w:rPr>
                <w:szCs w:val="24"/>
              </w:rPr>
              <w:t>.</w:t>
            </w:r>
          </w:p>
        </w:tc>
      </w:tr>
      <w:tr w:rsidR="00824107" w:rsidRPr="007E412E" w14:paraId="7BC9EAED" w14:textId="77777777" w:rsidTr="00315927">
        <w:trPr>
          <w:trHeight w:val="20"/>
        </w:trPr>
        <w:tc>
          <w:tcPr>
            <w:tcW w:w="5675" w:type="dxa"/>
          </w:tcPr>
          <w:p w14:paraId="517D6136" w14:textId="77777777" w:rsidR="00824107" w:rsidRPr="007E412E" w:rsidRDefault="00824107" w:rsidP="00B01A96">
            <w:pPr>
              <w:spacing w:after="240"/>
              <w:rPr>
                <w:szCs w:val="24"/>
              </w:rPr>
            </w:pPr>
            <w:r w:rsidRPr="004940B6">
              <w:rPr>
                <w:szCs w:val="24"/>
              </w:rPr>
              <w:t>PFHxS</w:t>
            </w:r>
          </w:p>
        </w:tc>
        <w:tc>
          <w:tcPr>
            <w:tcW w:w="2335" w:type="dxa"/>
          </w:tcPr>
          <w:p w14:paraId="52074409" w14:textId="77777777" w:rsidR="00824107" w:rsidRPr="007E412E" w:rsidRDefault="00824107" w:rsidP="00B01A96">
            <w:pPr>
              <w:spacing w:after="240"/>
              <w:rPr>
                <w:szCs w:val="24"/>
              </w:rPr>
            </w:pPr>
            <w:r w:rsidRPr="004940B6">
              <w:rPr>
                <w:szCs w:val="24"/>
              </w:rPr>
              <w:t>5 ng/l</w:t>
            </w:r>
            <w:r>
              <w:rPr>
                <w:szCs w:val="24"/>
              </w:rPr>
              <w:t>.</w:t>
            </w:r>
          </w:p>
        </w:tc>
      </w:tr>
      <w:tr w:rsidR="00824107" w:rsidRPr="007E412E" w14:paraId="71F7795B" w14:textId="77777777" w:rsidTr="00315927">
        <w:trPr>
          <w:trHeight w:val="20"/>
        </w:trPr>
        <w:tc>
          <w:tcPr>
            <w:tcW w:w="5675" w:type="dxa"/>
          </w:tcPr>
          <w:p w14:paraId="0C468840" w14:textId="77777777" w:rsidR="00824107" w:rsidRPr="007E412E" w:rsidRDefault="00824107" w:rsidP="00B01A96">
            <w:pPr>
              <w:spacing w:after="240"/>
              <w:rPr>
                <w:szCs w:val="24"/>
              </w:rPr>
            </w:pPr>
            <w:r w:rsidRPr="004940B6">
              <w:rPr>
                <w:szCs w:val="24"/>
              </w:rPr>
              <w:t>PFNA</w:t>
            </w:r>
          </w:p>
        </w:tc>
        <w:tc>
          <w:tcPr>
            <w:tcW w:w="2335" w:type="dxa"/>
          </w:tcPr>
          <w:p w14:paraId="08E5C65C" w14:textId="77777777" w:rsidR="00824107" w:rsidRPr="007E412E" w:rsidRDefault="00824107" w:rsidP="00B01A96">
            <w:pPr>
              <w:spacing w:after="240"/>
              <w:rPr>
                <w:szCs w:val="24"/>
              </w:rPr>
            </w:pPr>
            <w:r w:rsidRPr="004940B6">
              <w:rPr>
                <w:szCs w:val="24"/>
              </w:rPr>
              <w:t>5 ng/l</w:t>
            </w:r>
            <w:r>
              <w:rPr>
                <w:szCs w:val="24"/>
              </w:rPr>
              <w:t>.</w:t>
            </w:r>
          </w:p>
        </w:tc>
      </w:tr>
      <w:tr w:rsidR="00824107" w:rsidRPr="007E412E" w14:paraId="3BA35919" w14:textId="77777777" w:rsidTr="00315927">
        <w:trPr>
          <w:trHeight w:val="20"/>
        </w:trPr>
        <w:tc>
          <w:tcPr>
            <w:tcW w:w="5675" w:type="dxa"/>
          </w:tcPr>
          <w:p w14:paraId="3DF79244" w14:textId="77777777" w:rsidR="00824107" w:rsidRPr="007E412E" w:rsidRDefault="00824107" w:rsidP="00B01A96">
            <w:pPr>
              <w:spacing w:after="240"/>
              <w:rPr>
                <w:szCs w:val="24"/>
              </w:rPr>
            </w:pPr>
            <w:r w:rsidRPr="004940B6">
              <w:rPr>
                <w:szCs w:val="24"/>
              </w:rPr>
              <w:t>PFOA</w:t>
            </w:r>
          </w:p>
        </w:tc>
        <w:tc>
          <w:tcPr>
            <w:tcW w:w="2335" w:type="dxa"/>
          </w:tcPr>
          <w:p w14:paraId="5DB31E6E" w14:textId="77777777" w:rsidR="00824107" w:rsidRPr="007E412E" w:rsidRDefault="00824107" w:rsidP="00B01A96">
            <w:pPr>
              <w:spacing w:after="240"/>
              <w:rPr>
                <w:szCs w:val="24"/>
              </w:rPr>
            </w:pPr>
            <w:r w:rsidRPr="004940B6">
              <w:rPr>
                <w:szCs w:val="24"/>
              </w:rPr>
              <w:t>2.0 ng/l</w:t>
            </w:r>
            <w:r>
              <w:rPr>
                <w:szCs w:val="24"/>
              </w:rPr>
              <w:t>.</w:t>
            </w:r>
          </w:p>
        </w:tc>
      </w:tr>
      <w:tr w:rsidR="00824107" w:rsidRPr="007E412E" w14:paraId="769B0DE2" w14:textId="77777777" w:rsidTr="00315927">
        <w:trPr>
          <w:trHeight w:val="20"/>
        </w:trPr>
        <w:tc>
          <w:tcPr>
            <w:tcW w:w="5675" w:type="dxa"/>
          </w:tcPr>
          <w:p w14:paraId="049DE695" w14:textId="77777777" w:rsidR="00824107" w:rsidRPr="007E412E" w:rsidRDefault="00824107" w:rsidP="00B01A96">
            <w:pPr>
              <w:rPr>
                <w:szCs w:val="24"/>
              </w:rPr>
            </w:pPr>
            <w:r w:rsidRPr="004940B6">
              <w:rPr>
                <w:szCs w:val="24"/>
              </w:rPr>
              <w:t>PFOS</w:t>
            </w:r>
          </w:p>
        </w:tc>
        <w:tc>
          <w:tcPr>
            <w:tcW w:w="2335" w:type="dxa"/>
          </w:tcPr>
          <w:p w14:paraId="38A39515" w14:textId="77777777" w:rsidR="00824107" w:rsidRPr="007E412E" w:rsidRDefault="00824107" w:rsidP="00B01A96">
            <w:pPr>
              <w:rPr>
                <w:szCs w:val="24"/>
              </w:rPr>
            </w:pPr>
            <w:r w:rsidRPr="004940B6">
              <w:rPr>
                <w:szCs w:val="24"/>
              </w:rPr>
              <w:t>2.0 ng/l</w:t>
            </w:r>
            <w:r>
              <w:rPr>
                <w:szCs w:val="24"/>
              </w:rPr>
              <w:t>.</w:t>
            </w:r>
          </w:p>
        </w:tc>
      </w:tr>
    </w:tbl>
    <w:p w14:paraId="35708D57" w14:textId="77777777" w:rsidR="00824107" w:rsidRDefault="00824107" w:rsidP="00554269">
      <w:pPr>
        <w:rPr>
          <w:szCs w:val="24"/>
        </w:rPr>
      </w:pPr>
    </w:p>
    <w:p w14:paraId="39EB0E5C" w14:textId="2347FA2D" w:rsidR="00824107" w:rsidRDefault="00824107" w:rsidP="00824107">
      <w:pPr>
        <w:ind w:left="2160" w:hanging="720"/>
        <w:rPr>
          <w:szCs w:val="24"/>
        </w:rPr>
      </w:pPr>
      <w:r w:rsidRPr="0057343A">
        <w:rPr>
          <w:szCs w:val="24"/>
        </w:rPr>
        <w:t>6)</w:t>
      </w:r>
      <w:r>
        <w:rPr>
          <w:szCs w:val="24"/>
        </w:rPr>
        <w:tab/>
      </w:r>
      <w:r w:rsidRPr="0057343A">
        <w:rPr>
          <w:szCs w:val="24"/>
        </w:rPr>
        <w:t xml:space="preserve">Based on initial monitoring results, for each sampling point at which a regulated PFAS listed in </w:t>
      </w:r>
      <w:r w:rsidRPr="004940B6">
        <w:rPr>
          <w:szCs w:val="24"/>
        </w:rPr>
        <w:t>Section 611.311(c)</w:t>
      </w:r>
      <w:r w:rsidRPr="0057343A">
        <w:rPr>
          <w:szCs w:val="24"/>
        </w:rPr>
        <w:t xml:space="preserve"> is detected at a level greater </w:t>
      </w:r>
      <w:r w:rsidRPr="0057343A">
        <w:rPr>
          <w:szCs w:val="24"/>
        </w:rPr>
        <w:lastRenderedPageBreak/>
        <w:t xml:space="preserve">than or equal to the trigger level, the supplier must monitor quarterly for all regulated PFAS beginning April 26, 2027, in </w:t>
      </w:r>
      <w:r>
        <w:rPr>
          <w:szCs w:val="24"/>
        </w:rPr>
        <w:t>compliance</w:t>
      </w:r>
      <w:r w:rsidRPr="0057343A">
        <w:rPr>
          <w:szCs w:val="24"/>
        </w:rPr>
        <w:t xml:space="preserve"> with </w:t>
      </w:r>
      <w:r>
        <w:rPr>
          <w:szCs w:val="24"/>
        </w:rPr>
        <w:t>subsection</w:t>
      </w:r>
      <w:r w:rsidRPr="0057343A">
        <w:rPr>
          <w:szCs w:val="24"/>
        </w:rPr>
        <w:t xml:space="preserve"> </w:t>
      </w:r>
      <w:r w:rsidRPr="004940B6">
        <w:rPr>
          <w:szCs w:val="24"/>
        </w:rPr>
        <w:t>(b)(2)</w:t>
      </w:r>
      <w:r w:rsidRPr="0057343A">
        <w:rPr>
          <w:szCs w:val="24"/>
        </w:rPr>
        <w:t>.</w:t>
      </w:r>
    </w:p>
    <w:p w14:paraId="0992AB67" w14:textId="77777777" w:rsidR="00824107" w:rsidRDefault="00824107" w:rsidP="00554269">
      <w:pPr>
        <w:rPr>
          <w:szCs w:val="24"/>
        </w:rPr>
      </w:pPr>
    </w:p>
    <w:p w14:paraId="5AC648F0" w14:textId="30F548E1" w:rsidR="00824107" w:rsidRDefault="00824107" w:rsidP="00824107">
      <w:pPr>
        <w:ind w:left="2160" w:hanging="720"/>
        <w:rPr>
          <w:szCs w:val="24"/>
        </w:rPr>
      </w:pPr>
      <w:r w:rsidRPr="00916868">
        <w:rPr>
          <w:szCs w:val="24"/>
        </w:rPr>
        <w:t>7)</w:t>
      </w:r>
      <w:r>
        <w:rPr>
          <w:szCs w:val="24"/>
        </w:rPr>
        <w:tab/>
      </w:r>
      <w:r w:rsidRPr="00916868">
        <w:rPr>
          <w:szCs w:val="24"/>
        </w:rPr>
        <w:t xml:space="preserve">For </w:t>
      </w:r>
      <w:r>
        <w:rPr>
          <w:szCs w:val="24"/>
        </w:rPr>
        <w:t xml:space="preserve">the </w:t>
      </w:r>
      <w:r w:rsidRPr="00916868">
        <w:rPr>
          <w:szCs w:val="24"/>
        </w:rPr>
        <w:t xml:space="preserve">purposes of this section, each water </w:t>
      </w:r>
      <w:r>
        <w:rPr>
          <w:szCs w:val="24"/>
        </w:rPr>
        <w:t>supplier</w:t>
      </w:r>
      <w:r w:rsidRPr="00916868">
        <w:rPr>
          <w:szCs w:val="24"/>
        </w:rPr>
        <w:t xml:space="preserve"> must ensure that all results provided by a laboratory are reported to the Agency</w:t>
      </w:r>
      <w:r>
        <w:rPr>
          <w:szCs w:val="24"/>
        </w:rPr>
        <w:t xml:space="preserve"> </w:t>
      </w:r>
      <w:r w:rsidRPr="00916868">
        <w:rPr>
          <w:szCs w:val="24"/>
        </w:rPr>
        <w:t xml:space="preserve">and used for determining the required sampling frequencies. </w:t>
      </w:r>
      <w:r>
        <w:rPr>
          <w:szCs w:val="24"/>
        </w:rPr>
        <w:t xml:space="preserve"> </w:t>
      </w:r>
      <w:r w:rsidRPr="00916868">
        <w:rPr>
          <w:szCs w:val="24"/>
        </w:rPr>
        <w:t>This includes values below the practical quantitation levels defined in Section 611.</w:t>
      </w:r>
      <w:r>
        <w:rPr>
          <w:szCs w:val="24"/>
        </w:rPr>
        <w:t>79</w:t>
      </w:r>
      <w:r w:rsidRPr="00916868">
        <w:rPr>
          <w:szCs w:val="24"/>
        </w:rPr>
        <w:t>03 (f)(1)(D); zero must not be used in place of reported values.</w:t>
      </w:r>
    </w:p>
    <w:p w14:paraId="03E8F3B6" w14:textId="77777777" w:rsidR="00824107" w:rsidRDefault="00824107" w:rsidP="00554269">
      <w:pPr>
        <w:rPr>
          <w:szCs w:val="24"/>
        </w:rPr>
      </w:pPr>
    </w:p>
    <w:p w14:paraId="1ADA3C66" w14:textId="1F29A44A" w:rsidR="00824107" w:rsidRDefault="00824107" w:rsidP="00824107">
      <w:pPr>
        <w:ind w:firstLine="720"/>
        <w:rPr>
          <w:szCs w:val="24"/>
        </w:rPr>
      </w:pPr>
      <w:r w:rsidRPr="007E412E">
        <w:rPr>
          <w:szCs w:val="24"/>
        </w:rPr>
        <w:t>b)</w:t>
      </w:r>
      <w:r>
        <w:rPr>
          <w:szCs w:val="24"/>
        </w:rPr>
        <w:tab/>
      </w:r>
      <w:r w:rsidRPr="007E412E">
        <w:rPr>
          <w:szCs w:val="24"/>
        </w:rPr>
        <w:t xml:space="preserve">Monitoring </w:t>
      </w:r>
      <w:r>
        <w:rPr>
          <w:szCs w:val="24"/>
        </w:rPr>
        <w:t>r</w:t>
      </w:r>
      <w:r w:rsidRPr="007E412E">
        <w:rPr>
          <w:szCs w:val="24"/>
        </w:rPr>
        <w:t>equirements for PFAS</w:t>
      </w:r>
    </w:p>
    <w:p w14:paraId="414BE022" w14:textId="77777777" w:rsidR="00824107" w:rsidRDefault="00824107" w:rsidP="00554269">
      <w:pPr>
        <w:rPr>
          <w:szCs w:val="24"/>
        </w:rPr>
      </w:pPr>
    </w:p>
    <w:p w14:paraId="16E25258" w14:textId="10B99078" w:rsidR="00824107" w:rsidRDefault="00824107" w:rsidP="00824107">
      <w:pPr>
        <w:ind w:left="1440"/>
        <w:rPr>
          <w:szCs w:val="24"/>
        </w:rPr>
      </w:pPr>
      <w:r w:rsidRPr="007E412E">
        <w:rPr>
          <w:szCs w:val="24"/>
        </w:rPr>
        <w:t>1)</w:t>
      </w:r>
      <w:r>
        <w:rPr>
          <w:szCs w:val="24"/>
        </w:rPr>
        <w:tab/>
      </w:r>
      <w:r w:rsidRPr="007E412E">
        <w:rPr>
          <w:szCs w:val="24"/>
        </w:rPr>
        <w:t xml:space="preserve">Initial </w:t>
      </w:r>
      <w:r>
        <w:rPr>
          <w:szCs w:val="24"/>
        </w:rPr>
        <w:t>m</w:t>
      </w:r>
      <w:r w:rsidRPr="007E412E">
        <w:rPr>
          <w:szCs w:val="24"/>
        </w:rPr>
        <w:t>onitoring.</w:t>
      </w:r>
    </w:p>
    <w:p w14:paraId="037DB338" w14:textId="77777777" w:rsidR="00824107" w:rsidRDefault="00824107" w:rsidP="00554269">
      <w:pPr>
        <w:rPr>
          <w:szCs w:val="24"/>
        </w:rPr>
      </w:pPr>
    </w:p>
    <w:p w14:paraId="08511622" w14:textId="17A0BFA4" w:rsidR="00824107" w:rsidRDefault="00824107" w:rsidP="00824107">
      <w:pPr>
        <w:ind w:left="2880" w:hanging="720"/>
        <w:rPr>
          <w:szCs w:val="24"/>
        </w:rPr>
      </w:pPr>
      <w:r w:rsidRPr="00BA6BE6">
        <w:rPr>
          <w:szCs w:val="24"/>
        </w:rPr>
        <w:t>A)</w:t>
      </w:r>
      <w:r>
        <w:rPr>
          <w:szCs w:val="24"/>
        </w:rPr>
        <w:tab/>
      </w:r>
      <w:r w:rsidRPr="00BA6BE6">
        <w:rPr>
          <w:szCs w:val="24"/>
        </w:rPr>
        <w:t>Groundwater</w:t>
      </w:r>
      <w:r>
        <w:rPr>
          <w:szCs w:val="24"/>
        </w:rPr>
        <w:t xml:space="preserve"> </w:t>
      </w:r>
      <w:r w:rsidRPr="00BA6BE6">
        <w:rPr>
          <w:szCs w:val="24"/>
        </w:rPr>
        <w:t xml:space="preserve">CWS and NTNCWS </w:t>
      </w:r>
      <w:r>
        <w:rPr>
          <w:szCs w:val="24"/>
        </w:rPr>
        <w:t xml:space="preserve">suppliers </w:t>
      </w:r>
      <w:r w:rsidRPr="00BA6BE6">
        <w:rPr>
          <w:szCs w:val="24"/>
        </w:rPr>
        <w:t xml:space="preserve">serving greater than 10,000 persons and all surface water CWS and NTNCWS </w:t>
      </w:r>
      <w:r>
        <w:rPr>
          <w:szCs w:val="24"/>
        </w:rPr>
        <w:t xml:space="preserve">suppliers </w:t>
      </w:r>
      <w:r w:rsidRPr="00BA6BE6">
        <w:rPr>
          <w:szCs w:val="24"/>
        </w:rPr>
        <w:t xml:space="preserve">must take four consecutive samples 2 to 4 months apart within a 12-month period (quarterly samples) for each regulated PFAS listed </w:t>
      </w:r>
      <w:r w:rsidRPr="004940B6">
        <w:rPr>
          <w:szCs w:val="24"/>
        </w:rPr>
        <w:t>in Section 611.311(c).</w:t>
      </w:r>
    </w:p>
    <w:p w14:paraId="29CABEF7" w14:textId="77777777" w:rsidR="00824107" w:rsidRDefault="00824107" w:rsidP="00554269">
      <w:pPr>
        <w:rPr>
          <w:szCs w:val="24"/>
        </w:rPr>
      </w:pPr>
    </w:p>
    <w:p w14:paraId="620CCE70" w14:textId="3C092500" w:rsidR="00824107" w:rsidRDefault="00824107" w:rsidP="00824107">
      <w:pPr>
        <w:ind w:left="2880" w:hanging="720"/>
        <w:rPr>
          <w:szCs w:val="24"/>
        </w:rPr>
      </w:pPr>
      <w:r w:rsidRPr="00DF5C9E">
        <w:rPr>
          <w:szCs w:val="24"/>
        </w:rPr>
        <w:t>B)</w:t>
      </w:r>
      <w:r>
        <w:rPr>
          <w:szCs w:val="24"/>
        </w:rPr>
        <w:tab/>
      </w:r>
      <w:r w:rsidRPr="00DF5C9E">
        <w:rPr>
          <w:szCs w:val="24"/>
        </w:rPr>
        <w:t>All groundwater</w:t>
      </w:r>
      <w:r>
        <w:rPr>
          <w:szCs w:val="24"/>
        </w:rPr>
        <w:t xml:space="preserve"> </w:t>
      </w:r>
      <w:r w:rsidRPr="00DF5C9E">
        <w:rPr>
          <w:szCs w:val="24"/>
        </w:rPr>
        <w:t>CWS and NTNCWS</w:t>
      </w:r>
      <w:r>
        <w:rPr>
          <w:szCs w:val="24"/>
        </w:rPr>
        <w:t xml:space="preserve"> suppliers</w:t>
      </w:r>
      <w:r w:rsidRPr="00DF5C9E">
        <w:rPr>
          <w:szCs w:val="24"/>
        </w:rPr>
        <w:t xml:space="preserve"> serving 10,000 or fewer persons must take two samples for each regulated PFAS listed in </w:t>
      </w:r>
      <w:r w:rsidRPr="004940B6">
        <w:rPr>
          <w:szCs w:val="24"/>
        </w:rPr>
        <w:t>Section 611.311(c)</w:t>
      </w:r>
      <w:r w:rsidRPr="00DF5C9E">
        <w:rPr>
          <w:szCs w:val="24"/>
        </w:rPr>
        <w:t xml:space="preserve"> five to seven months apart within a 12-month period.</w:t>
      </w:r>
    </w:p>
    <w:p w14:paraId="20588E2F" w14:textId="77777777" w:rsidR="00824107" w:rsidRDefault="00824107" w:rsidP="00554269">
      <w:pPr>
        <w:rPr>
          <w:szCs w:val="24"/>
        </w:rPr>
      </w:pPr>
    </w:p>
    <w:p w14:paraId="00535F58" w14:textId="52EC4A0A" w:rsidR="00824107" w:rsidRDefault="00824107" w:rsidP="00824107">
      <w:pPr>
        <w:ind w:left="2880" w:hanging="720"/>
        <w:rPr>
          <w:szCs w:val="24"/>
        </w:rPr>
      </w:pPr>
      <w:r w:rsidRPr="007E412E">
        <w:rPr>
          <w:szCs w:val="24"/>
        </w:rPr>
        <w:t>C)</w:t>
      </w:r>
      <w:r>
        <w:rPr>
          <w:szCs w:val="24"/>
        </w:rPr>
        <w:tab/>
      </w:r>
      <w:r w:rsidRPr="007E412E">
        <w:rPr>
          <w:szCs w:val="24"/>
        </w:rPr>
        <w:t>All groundwater under the direct influence of surface water (GWUDI)</w:t>
      </w:r>
      <w:r>
        <w:rPr>
          <w:szCs w:val="24"/>
        </w:rPr>
        <w:t xml:space="preserve"> </w:t>
      </w:r>
      <w:r w:rsidRPr="007E412E">
        <w:rPr>
          <w:szCs w:val="24"/>
        </w:rPr>
        <w:t>CWS and NTNCWS</w:t>
      </w:r>
      <w:r>
        <w:rPr>
          <w:szCs w:val="24"/>
        </w:rPr>
        <w:t xml:space="preserve"> suppliers</w:t>
      </w:r>
      <w:r w:rsidRPr="007E412E">
        <w:rPr>
          <w:szCs w:val="24"/>
        </w:rPr>
        <w:t xml:space="preserve"> must follow the surface water CWS and NTNCWS</w:t>
      </w:r>
      <w:r>
        <w:rPr>
          <w:szCs w:val="24"/>
        </w:rPr>
        <w:t xml:space="preserve"> supplier</w:t>
      </w:r>
      <w:r w:rsidRPr="007E412E">
        <w:rPr>
          <w:szCs w:val="24"/>
        </w:rPr>
        <w:t xml:space="preserve"> monitoring schedule in </w:t>
      </w:r>
      <w:r>
        <w:rPr>
          <w:szCs w:val="24"/>
        </w:rPr>
        <w:t>subsection</w:t>
      </w:r>
      <w:r w:rsidRPr="007E412E">
        <w:rPr>
          <w:szCs w:val="24"/>
        </w:rPr>
        <w:t xml:space="preserve"> (b)(1)(A).</w:t>
      </w:r>
    </w:p>
    <w:p w14:paraId="197D6446" w14:textId="77777777" w:rsidR="00824107" w:rsidRDefault="00824107" w:rsidP="00554269">
      <w:pPr>
        <w:rPr>
          <w:szCs w:val="24"/>
        </w:rPr>
      </w:pPr>
    </w:p>
    <w:p w14:paraId="7A7C98D6" w14:textId="556B5A5A" w:rsidR="00824107" w:rsidRDefault="00824107" w:rsidP="00824107">
      <w:pPr>
        <w:ind w:left="2880" w:hanging="720"/>
        <w:rPr>
          <w:szCs w:val="24"/>
        </w:rPr>
      </w:pPr>
      <w:r w:rsidRPr="007E412E">
        <w:rPr>
          <w:szCs w:val="24"/>
        </w:rPr>
        <w:t>D)</w:t>
      </w:r>
      <w:r>
        <w:rPr>
          <w:szCs w:val="24"/>
        </w:rPr>
        <w:tab/>
      </w:r>
      <w:r w:rsidRPr="007E412E">
        <w:rPr>
          <w:szCs w:val="24"/>
        </w:rPr>
        <w:t xml:space="preserve">All </w:t>
      </w:r>
      <w:r>
        <w:rPr>
          <w:szCs w:val="24"/>
        </w:rPr>
        <w:t>suppliers</w:t>
      </w:r>
      <w:r w:rsidRPr="007E412E">
        <w:rPr>
          <w:szCs w:val="24"/>
        </w:rPr>
        <w:t xml:space="preserve"> that use both surface water and groundwater must apply the requirements in </w:t>
      </w:r>
      <w:r>
        <w:rPr>
          <w:szCs w:val="24"/>
        </w:rPr>
        <w:t>subsection</w:t>
      </w:r>
      <w:r w:rsidRPr="007E412E">
        <w:rPr>
          <w:szCs w:val="24"/>
        </w:rPr>
        <w:t xml:space="preserve">s (b)(1)(A) through (C) depending on the source(s) of water provided at a given entry point to the distribution system (EPTDS). </w:t>
      </w:r>
      <w:r>
        <w:rPr>
          <w:szCs w:val="24"/>
        </w:rPr>
        <w:t xml:space="preserve"> </w:t>
      </w:r>
      <w:r w:rsidRPr="007E412E">
        <w:rPr>
          <w:szCs w:val="24"/>
        </w:rPr>
        <w:t>If the EPTDS provides surface water, the requirements for a surface water CWS/NTNCWS</w:t>
      </w:r>
      <w:r>
        <w:rPr>
          <w:szCs w:val="24"/>
        </w:rPr>
        <w:t xml:space="preserve"> supplier</w:t>
      </w:r>
      <w:r w:rsidRPr="007E412E">
        <w:rPr>
          <w:szCs w:val="24"/>
        </w:rPr>
        <w:t xml:space="preserve"> apply. </w:t>
      </w:r>
      <w:r>
        <w:rPr>
          <w:szCs w:val="24"/>
        </w:rPr>
        <w:t xml:space="preserve"> </w:t>
      </w:r>
      <w:r w:rsidRPr="007E412E">
        <w:rPr>
          <w:szCs w:val="24"/>
        </w:rPr>
        <w:t xml:space="preserve">If the EPTDS provides groundwater, the requirements for a groundwater CWS/NTNCWS </w:t>
      </w:r>
      <w:r>
        <w:rPr>
          <w:szCs w:val="24"/>
        </w:rPr>
        <w:t xml:space="preserve">supplier </w:t>
      </w:r>
      <w:r w:rsidRPr="007E412E">
        <w:rPr>
          <w:szCs w:val="24"/>
        </w:rPr>
        <w:t xml:space="preserve">apply, based on </w:t>
      </w:r>
      <w:r>
        <w:rPr>
          <w:szCs w:val="24"/>
        </w:rPr>
        <w:t>supplier</w:t>
      </w:r>
      <w:r w:rsidRPr="007E412E">
        <w:rPr>
          <w:szCs w:val="24"/>
        </w:rPr>
        <w:t xml:space="preserve"> size. </w:t>
      </w:r>
      <w:r>
        <w:rPr>
          <w:szCs w:val="24"/>
        </w:rPr>
        <w:t xml:space="preserve"> </w:t>
      </w:r>
      <w:r w:rsidRPr="007E412E">
        <w:rPr>
          <w:szCs w:val="24"/>
        </w:rPr>
        <w:t xml:space="preserve">If an EPTDS provides a blend of surface water and groundwater, the requirements for a surface water system apply. </w:t>
      </w:r>
      <w:r>
        <w:rPr>
          <w:szCs w:val="24"/>
        </w:rPr>
        <w:t xml:space="preserve"> </w:t>
      </w:r>
      <w:r w:rsidRPr="007E412E">
        <w:rPr>
          <w:szCs w:val="24"/>
        </w:rPr>
        <w:t>For s</w:t>
      </w:r>
      <w:r>
        <w:rPr>
          <w:szCs w:val="24"/>
        </w:rPr>
        <w:t>uppliers</w:t>
      </w:r>
      <w:r w:rsidRPr="007E412E">
        <w:rPr>
          <w:szCs w:val="24"/>
        </w:rPr>
        <w:t xml:space="preserve"> that change the source water type at an EPTDS during the initial monitoring period (i.e., one part of the year it is surface water and the remaining part of the year it is groundwater), the sampling requirements for a surface water s</w:t>
      </w:r>
      <w:r>
        <w:rPr>
          <w:szCs w:val="24"/>
        </w:rPr>
        <w:t>upplier</w:t>
      </w:r>
      <w:r w:rsidRPr="007E412E">
        <w:rPr>
          <w:szCs w:val="24"/>
        </w:rPr>
        <w:t xml:space="preserve"> apply.</w:t>
      </w:r>
    </w:p>
    <w:p w14:paraId="190035EC" w14:textId="77777777" w:rsidR="00824107" w:rsidRDefault="00824107" w:rsidP="00554269">
      <w:pPr>
        <w:rPr>
          <w:szCs w:val="24"/>
        </w:rPr>
      </w:pPr>
    </w:p>
    <w:p w14:paraId="3821653E" w14:textId="55D8F9F1" w:rsidR="00824107" w:rsidRDefault="00824107" w:rsidP="00824107">
      <w:pPr>
        <w:ind w:left="2880" w:hanging="720"/>
        <w:rPr>
          <w:szCs w:val="24"/>
        </w:rPr>
      </w:pPr>
      <w:r w:rsidRPr="007E412E">
        <w:rPr>
          <w:szCs w:val="24"/>
        </w:rPr>
        <w:lastRenderedPageBreak/>
        <w:t>E)</w:t>
      </w:r>
      <w:r>
        <w:rPr>
          <w:szCs w:val="24"/>
        </w:rPr>
        <w:tab/>
      </w:r>
      <w:r w:rsidRPr="007E412E">
        <w:rPr>
          <w:szCs w:val="24"/>
        </w:rPr>
        <w:t>S</w:t>
      </w:r>
      <w:r>
        <w:rPr>
          <w:szCs w:val="24"/>
        </w:rPr>
        <w:t>uppliers</w:t>
      </w:r>
      <w:r w:rsidRPr="007E412E">
        <w:rPr>
          <w:szCs w:val="24"/>
        </w:rPr>
        <w:t xml:space="preserve"> must monitor at a frequency indicated in the following table, though </w:t>
      </w:r>
      <w:r>
        <w:rPr>
          <w:szCs w:val="24"/>
        </w:rPr>
        <w:t>the Agency</w:t>
      </w:r>
      <w:r w:rsidRPr="007E412E">
        <w:rPr>
          <w:szCs w:val="24"/>
        </w:rPr>
        <w:t xml:space="preserve"> may require more frequent monitoring on a s</w:t>
      </w:r>
      <w:r>
        <w:rPr>
          <w:szCs w:val="24"/>
        </w:rPr>
        <w:t xml:space="preserve">upplier </w:t>
      </w:r>
      <w:r w:rsidRPr="007E412E">
        <w:rPr>
          <w:szCs w:val="24"/>
        </w:rPr>
        <w:t>specific basis:</w:t>
      </w:r>
    </w:p>
    <w:p w14:paraId="7435D270" w14:textId="77777777" w:rsidR="00824107" w:rsidRDefault="00824107" w:rsidP="00554269">
      <w:pPr>
        <w:rPr>
          <w:szCs w:val="24"/>
        </w:rPr>
      </w:pPr>
    </w:p>
    <w:p w14:paraId="4FD70780" w14:textId="77777777" w:rsidR="00824107" w:rsidRDefault="00824107" w:rsidP="00824107">
      <w:pPr>
        <w:ind w:left="720"/>
        <w:rPr>
          <w:szCs w:val="24"/>
        </w:rPr>
      </w:pPr>
      <w:r w:rsidRPr="004940B6">
        <w:rPr>
          <w:szCs w:val="24"/>
        </w:rPr>
        <w:t>Section 611.</w:t>
      </w:r>
      <w:r>
        <w:rPr>
          <w:szCs w:val="24"/>
        </w:rPr>
        <w:t>79</w:t>
      </w:r>
      <w:r w:rsidRPr="004940B6">
        <w:rPr>
          <w:szCs w:val="24"/>
        </w:rPr>
        <w:t>02(b)(1)(E) TABL</w:t>
      </w:r>
      <w:r>
        <w:rPr>
          <w:szCs w:val="24"/>
        </w:rPr>
        <w:t>E 1</w:t>
      </w:r>
      <w:r w:rsidRPr="004940B6">
        <w:rPr>
          <w:szCs w:val="24"/>
        </w:rPr>
        <w:t xml:space="preserve">  Initial Monitoring Requirements</w:t>
      </w:r>
    </w:p>
    <w:p w14:paraId="07479A3C" w14:textId="77777777" w:rsidR="00824107" w:rsidRPr="004940B6" w:rsidRDefault="00824107" w:rsidP="00554269">
      <w:pPr>
        <w:rPr>
          <w:szCs w:val="24"/>
        </w:rPr>
      </w:pPr>
    </w:p>
    <w:tbl>
      <w:tblPr>
        <w:tblStyle w:val="TableGrid"/>
        <w:tblW w:w="4570" w:type="pc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431"/>
        <w:gridCol w:w="1709"/>
      </w:tblGrid>
      <w:tr w:rsidR="00824107" w:rsidRPr="007E412E" w14:paraId="7E38FFAB" w14:textId="77777777" w:rsidTr="00B01A96">
        <w:tc>
          <w:tcPr>
            <w:tcW w:w="2580" w:type="pct"/>
            <w:hideMark/>
          </w:tcPr>
          <w:p w14:paraId="60F4B661" w14:textId="77777777" w:rsidR="00824107" w:rsidRPr="007E412E" w:rsidRDefault="00824107" w:rsidP="00B01A96">
            <w:pPr>
              <w:spacing w:before="240" w:after="240"/>
              <w:jc w:val="center"/>
              <w:rPr>
                <w:color w:val="333333"/>
                <w:szCs w:val="24"/>
              </w:rPr>
            </w:pPr>
            <w:r w:rsidRPr="007E412E">
              <w:rPr>
                <w:color w:val="333333"/>
                <w:szCs w:val="24"/>
              </w:rPr>
              <w:t>Type of System</w:t>
            </w:r>
          </w:p>
        </w:tc>
        <w:tc>
          <w:tcPr>
            <w:tcW w:w="1421" w:type="pct"/>
            <w:hideMark/>
          </w:tcPr>
          <w:p w14:paraId="27058520" w14:textId="77777777" w:rsidR="00824107" w:rsidRPr="007E412E" w:rsidRDefault="00824107" w:rsidP="00B01A96">
            <w:pPr>
              <w:spacing w:before="240" w:after="240"/>
              <w:jc w:val="center"/>
              <w:rPr>
                <w:color w:val="333333"/>
                <w:szCs w:val="24"/>
              </w:rPr>
            </w:pPr>
            <w:r w:rsidRPr="007E412E">
              <w:rPr>
                <w:color w:val="333333"/>
                <w:szCs w:val="24"/>
              </w:rPr>
              <w:t>Minimum Monitoring Frequency</w:t>
            </w:r>
          </w:p>
        </w:tc>
        <w:tc>
          <w:tcPr>
            <w:tcW w:w="999" w:type="pct"/>
            <w:hideMark/>
          </w:tcPr>
          <w:p w14:paraId="19D0E6F5" w14:textId="77777777" w:rsidR="00824107" w:rsidRPr="007E412E" w:rsidRDefault="00824107" w:rsidP="00B01A96">
            <w:pPr>
              <w:pStyle w:val="NoSpacing"/>
              <w:spacing w:before="240" w:after="240"/>
              <w:jc w:val="center"/>
            </w:pPr>
            <w:r w:rsidRPr="004940B6">
              <w:rPr>
                <w:szCs w:val="24"/>
              </w:rPr>
              <w:t>Sample</w:t>
            </w:r>
            <w:r>
              <w:rPr>
                <w:szCs w:val="24"/>
              </w:rPr>
              <w:t xml:space="preserve"> </w:t>
            </w:r>
            <w:r w:rsidRPr="004940B6">
              <w:rPr>
                <w:szCs w:val="24"/>
              </w:rPr>
              <w:t>Location</w:t>
            </w:r>
          </w:p>
        </w:tc>
      </w:tr>
      <w:tr w:rsidR="00824107" w:rsidRPr="007E412E" w14:paraId="1D844A07" w14:textId="77777777" w:rsidTr="00B01A96">
        <w:tc>
          <w:tcPr>
            <w:tcW w:w="2580" w:type="pct"/>
          </w:tcPr>
          <w:p w14:paraId="6BB54BF0" w14:textId="77777777" w:rsidR="00824107" w:rsidRPr="007E412E" w:rsidRDefault="00824107" w:rsidP="00B01A96">
            <w:pPr>
              <w:spacing w:before="240" w:after="240"/>
              <w:rPr>
                <w:szCs w:val="24"/>
              </w:rPr>
            </w:pPr>
            <w:r w:rsidRPr="007E412E">
              <w:rPr>
                <w:szCs w:val="24"/>
              </w:rPr>
              <w:t>Groundwater</w:t>
            </w:r>
            <w:r>
              <w:rPr>
                <w:szCs w:val="24"/>
              </w:rPr>
              <w:t xml:space="preserve"> </w:t>
            </w:r>
            <w:r w:rsidRPr="007E412E">
              <w:rPr>
                <w:szCs w:val="24"/>
              </w:rPr>
              <w:t xml:space="preserve">CWS and NTNCWS </w:t>
            </w:r>
            <w:r>
              <w:rPr>
                <w:szCs w:val="24"/>
              </w:rPr>
              <w:t xml:space="preserve">suppliers </w:t>
            </w:r>
            <w:r w:rsidRPr="007E412E">
              <w:rPr>
                <w:szCs w:val="24"/>
              </w:rPr>
              <w:t>serving greater than 10,000 persons, all surface water CWS and NTNCWS</w:t>
            </w:r>
            <w:r>
              <w:rPr>
                <w:szCs w:val="24"/>
              </w:rPr>
              <w:t xml:space="preserve"> suppliers</w:t>
            </w:r>
            <w:r w:rsidRPr="007E412E">
              <w:rPr>
                <w:szCs w:val="24"/>
              </w:rPr>
              <w:t>, and all GWUDI s</w:t>
            </w:r>
            <w:r>
              <w:rPr>
                <w:szCs w:val="24"/>
              </w:rPr>
              <w:t>upplier</w:t>
            </w:r>
            <w:r w:rsidRPr="007E412E">
              <w:rPr>
                <w:szCs w:val="24"/>
              </w:rPr>
              <w:t>s</w:t>
            </w:r>
          </w:p>
          <w:p w14:paraId="252F2A1B" w14:textId="77777777" w:rsidR="00824107" w:rsidRPr="007E412E" w:rsidRDefault="00824107" w:rsidP="00B01A96">
            <w:pPr>
              <w:spacing w:before="240" w:after="240"/>
              <w:rPr>
                <w:szCs w:val="24"/>
              </w:rPr>
            </w:pPr>
          </w:p>
        </w:tc>
        <w:tc>
          <w:tcPr>
            <w:tcW w:w="1421" w:type="pct"/>
          </w:tcPr>
          <w:p w14:paraId="1D6F0149" w14:textId="77777777" w:rsidR="00824107" w:rsidRPr="007E412E" w:rsidRDefault="00824107" w:rsidP="00B01A96">
            <w:pPr>
              <w:spacing w:before="240" w:after="240"/>
              <w:rPr>
                <w:szCs w:val="24"/>
              </w:rPr>
            </w:pPr>
            <w:r w:rsidRPr="007E412E">
              <w:rPr>
                <w:szCs w:val="24"/>
              </w:rPr>
              <w:t xml:space="preserve">Four consecutive quarters of samples per entry point to the distribution system (EPTDS) within a 12-month period, unless the exception in </w:t>
            </w:r>
            <w:hyperlink r:id="rId6" w:anchor="p-141.902(b)(1)(viii)" w:history="1">
              <w:r>
                <w:rPr>
                  <w:rFonts w:asciiTheme="minorHAnsi" w:hAnsiTheme="minorHAnsi" w:cstheme="minorBidi"/>
                  <w:szCs w:val="22"/>
                </w:rPr>
                <w:t>subsection</w:t>
              </w:r>
              <w:r w:rsidRPr="004940B6">
                <w:rPr>
                  <w:szCs w:val="24"/>
                </w:rPr>
                <w:t xml:space="preserve"> (b)(1)(H)</w:t>
              </w:r>
            </w:hyperlink>
            <w:r w:rsidRPr="007E412E">
              <w:rPr>
                <w:szCs w:val="24"/>
              </w:rPr>
              <w:t xml:space="preserve"> applies. Samples must be taken two to four months apart.</w:t>
            </w:r>
          </w:p>
        </w:tc>
        <w:tc>
          <w:tcPr>
            <w:tcW w:w="999" w:type="pct"/>
          </w:tcPr>
          <w:p w14:paraId="46911F31" w14:textId="77777777" w:rsidR="00824107" w:rsidRDefault="00824107" w:rsidP="00B01A96">
            <w:pPr>
              <w:spacing w:before="240" w:after="240"/>
              <w:jc w:val="both"/>
              <w:rPr>
                <w:szCs w:val="24"/>
              </w:rPr>
            </w:pPr>
            <w:r>
              <w:rPr>
                <w:szCs w:val="24"/>
              </w:rPr>
              <w:t>Sampling point for EPTDS</w:t>
            </w:r>
          </w:p>
          <w:p w14:paraId="48667431" w14:textId="77777777" w:rsidR="00824107" w:rsidRPr="007E412E" w:rsidRDefault="00824107" w:rsidP="00B01A96">
            <w:pPr>
              <w:spacing w:before="240" w:after="240"/>
              <w:rPr>
                <w:szCs w:val="24"/>
              </w:rPr>
            </w:pPr>
          </w:p>
        </w:tc>
      </w:tr>
      <w:tr w:rsidR="00824107" w:rsidRPr="007E412E" w14:paraId="4290EDBA" w14:textId="77777777" w:rsidTr="00B01A96">
        <w:tc>
          <w:tcPr>
            <w:tcW w:w="2580" w:type="pct"/>
          </w:tcPr>
          <w:p w14:paraId="7718BA4B" w14:textId="77777777" w:rsidR="00824107" w:rsidRPr="007E412E" w:rsidRDefault="00824107" w:rsidP="00B01A96">
            <w:pPr>
              <w:rPr>
                <w:szCs w:val="24"/>
              </w:rPr>
            </w:pPr>
            <w:r w:rsidRPr="007E412E">
              <w:rPr>
                <w:szCs w:val="24"/>
              </w:rPr>
              <w:t>Groundwater</w:t>
            </w:r>
            <w:r>
              <w:rPr>
                <w:szCs w:val="24"/>
              </w:rPr>
              <w:t xml:space="preserve"> </w:t>
            </w:r>
            <w:r w:rsidRPr="007E412E">
              <w:rPr>
                <w:szCs w:val="24"/>
              </w:rPr>
              <w:t xml:space="preserve">CWS and NTNCWS </w:t>
            </w:r>
            <w:r>
              <w:rPr>
                <w:szCs w:val="24"/>
              </w:rPr>
              <w:t xml:space="preserve">suppliers </w:t>
            </w:r>
            <w:r w:rsidRPr="007E412E">
              <w:rPr>
                <w:szCs w:val="24"/>
              </w:rPr>
              <w:t>serving 10,000 or fewer persons</w:t>
            </w:r>
          </w:p>
        </w:tc>
        <w:tc>
          <w:tcPr>
            <w:tcW w:w="1421" w:type="pct"/>
          </w:tcPr>
          <w:p w14:paraId="0AAFC197" w14:textId="77777777" w:rsidR="00824107" w:rsidRPr="007E412E" w:rsidRDefault="00824107" w:rsidP="00B01A96">
            <w:pPr>
              <w:rPr>
                <w:szCs w:val="24"/>
              </w:rPr>
            </w:pPr>
            <w:r w:rsidRPr="007E412E">
              <w:rPr>
                <w:szCs w:val="24"/>
              </w:rPr>
              <w:t xml:space="preserve">Two consecutive samples per EPTDS within a 12-month period, unless the exception in </w:t>
            </w:r>
            <w:hyperlink r:id="rId7" w:anchor="p-141.902(b)(1)(viii)" w:history="1">
              <w:r>
                <w:rPr>
                  <w:rFonts w:asciiTheme="minorHAnsi" w:hAnsiTheme="minorHAnsi" w:cstheme="minorBidi"/>
                  <w:szCs w:val="22"/>
                </w:rPr>
                <w:t>subsection</w:t>
              </w:r>
              <w:r w:rsidRPr="004940B6">
                <w:rPr>
                  <w:szCs w:val="24"/>
                </w:rPr>
                <w:t xml:space="preserve"> (b)(1)(H)</w:t>
              </w:r>
            </w:hyperlink>
            <w:r w:rsidRPr="007E412E">
              <w:rPr>
                <w:szCs w:val="24"/>
              </w:rPr>
              <w:t xml:space="preserve"> applies. Samples must be taken five to seven months apart.</w:t>
            </w:r>
          </w:p>
        </w:tc>
        <w:tc>
          <w:tcPr>
            <w:tcW w:w="999" w:type="pct"/>
          </w:tcPr>
          <w:p w14:paraId="13A27887" w14:textId="77777777" w:rsidR="00824107" w:rsidRDefault="00824107" w:rsidP="00B01A96">
            <w:pPr>
              <w:rPr>
                <w:szCs w:val="24"/>
              </w:rPr>
            </w:pPr>
            <w:r>
              <w:rPr>
                <w:szCs w:val="24"/>
              </w:rPr>
              <w:t>Sampling point for EPTDS</w:t>
            </w:r>
          </w:p>
          <w:p w14:paraId="5AF68F22" w14:textId="77777777" w:rsidR="00824107" w:rsidRDefault="00824107" w:rsidP="00B01A96">
            <w:pPr>
              <w:rPr>
                <w:szCs w:val="24"/>
              </w:rPr>
            </w:pPr>
          </w:p>
          <w:p w14:paraId="3FDDFF1E" w14:textId="1A9D8FBE" w:rsidR="00824107" w:rsidRPr="007E412E" w:rsidRDefault="00824107" w:rsidP="00B01A96">
            <w:pPr>
              <w:rPr>
                <w:szCs w:val="24"/>
              </w:rPr>
            </w:pPr>
          </w:p>
        </w:tc>
      </w:tr>
    </w:tbl>
    <w:p w14:paraId="4CFCCB84" w14:textId="77777777" w:rsidR="00824107" w:rsidRDefault="00824107" w:rsidP="00554269">
      <w:pPr>
        <w:rPr>
          <w:szCs w:val="24"/>
        </w:rPr>
      </w:pPr>
    </w:p>
    <w:p w14:paraId="191863B8" w14:textId="1D5B9A0A" w:rsidR="00824107" w:rsidRDefault="00824107" w:rsidP="00824107">
      <w:pPr>
        <w:ind w:left="2880" w:hanging="720"/>
        <w:rPr>
          <w:szCs w:val="24"/>
        </w:rPr>
      </w:pPr>
      <w:r w:rsidRPr="00EB29EE">
        <w:rPr>
          <w:szCs w:val="24"/>
        </w:rPr>
        <w:t>F)</w:t>
      </w:r>
      <w:r>
        <w:rPr>
          <w:szCs w:val="24"/>
        </w:rPr>
        <w:tab/>
      </w:r>
      <w:r w:rsidRPr="00EB29EE">
        <w:rPr>
          <w:szCs w:val="24"/>
        </w:rPr>
        <w:t xml:space="preserve">The Agency may accept data previously acquired by a </w:t>
      </w:r>
      <w:r>
        <w:rPr>
          <w:szCs w:val="24"/>
        </w:rPr>
        <w:t>supplier</w:t>
      </w:r>
      <w:r w:rsidRPr="00EB29EE">
        <w:rPr>
          <w:szCs w:val="24"/>
        </w:rPr>
        <w:t xml:space="preserve"> to count toward the initial monitoring requirements if the data meet</w:t>
      </w:r>
      <w:r>
        <w:rPr>
          <w:szCs w:val="24"/>
        </w:rPr>
        <w:t>s</w:t>
      </w:r>
      <w:r w:rsidRPr="00EB29EE">
        <w:rPr>
          <w:szCs w:val="24"/>
        </w:rPr>
        <w:t xml:space="preserve"> the requirements of </w:t>
      </w:r>
      <w:r w:rsidRPr="004940B6">
        <w:rPr>
          <w:szCs w:val="24"/>
        </w:rPr>
        <w:t>Section 611.</w:t>
      </w:r>
      <w:r>
        <w:rPr>
          <w:szCs w:val="24"/>
        </w:rPr>
        <w:t>79</w:t>
      </w:r>
      <w:r w:rsidRPr="004940B6">
        <w:rPr>
          <w:szCs w:val="24"/>
        </w:rPr>
        <w:t>01(b)(1),</w:t>
      </w:r>
      <w:r w:rsidRPr="00EB29EE">
        <w:rPr>
          <w:szCs w:val="24"/>
        </w:rPr>
        <w:t xml:space="preserve"> samples were collected starting on or after January 1, 2019, and otherwise meet the timing requirements specified in </w:t>
      </w:r>
      <w:r w:rsidRPr="004940B6">
        <w:rPr>
          <w:szCs w:val="24"/>
        </w:rPr>
        <w:t xml:space="preserve">table </w:t>
      </w:r>
      <w:r>
        <w:rPr>
          <w:szCs w:val="24"/>
        </w:rPr>
        <w:t>1</w:t>
      </w:r>
      <w:r w:rsidRPr="004940B6">
        <w:rPr>
          <w:szCs w:val="24"/>
        </w:rPr>
        <w:t xml:space="preserve"> to </w:t>
      </w:r>
      <w:r>
        <w:rPr>
          <w:szCs w:val="24"/>
        </w:rPr>
        <w:t>subsection</w:t>
      </w:r>
      <w:r w:rsidRPr="004940B6">
        <w:rPr>
          <w:szCs w:val="24"/>
        </w:rPr>
        <w:t xml:space="preserve"> (b)(1)(E)</w:t>
      </w:r>
      <w:r w:rsidRPr="00EB29EE">
        <w:rPr>
          <w:szCs w:val="24"/>
        </w:rPr>
        <w:t>.</w:t>
      </w:r>
      <w:r>
        <w:rPr>
          <w:szCs w:val="24"/>
        </w:rPr>
        <w:t xml:space="preserve"> </w:t>
      </w:r>
      <w:r w:rsidRPr="00EB29EE">
        <w:rPr>
          <w:szCs w:val="24"/>
        </w:rPr>
        <w:t xml:space="preserve"> For the purposes of satisfying initial monitoring requirements, acceptable data may be reported to a concentration no greater than the MCLs.</w:t>
      </w:r>
      <w:r>
        <w:rPr>
          <w:szCs w:val="24"/>
        </w:rPr>
        <w:t xml:space="preserve"> </w:t>
      </w:r>
      <w:r w:rsidRPr="00EB29EE">
        <w:rPr>
          <w:szCs w:val="24"/>
        </w:rPr>
        <w:t xml:space="preserve"> However, a </w:t>
      </w:r>
      <w:r>
        <w:rPr>
          <w:szCs w:val="24"/>
        </w:rPr>
        <w:t>supplier</w:t>
      </w:r>
      <w:r w:rsidRPr="00EB29EE">
        <w:rPr>
          <w:szCs w:val="24"/>
        </w:rPr>
        <w:t xml:space="preserve"> is only eligible for triennial monitoring at the start of the compliance monitoring period if the supplier demonstrates that concentrations in all samples it uses to satisfy the initial monitoring requirements are below the trigger levels defined in </w:t>
      </w:r>
      <w:r>
        <w:rPr>
          <w:szCs w:val="24"/>
        </w:rPr>
        <w:t>subsection</w:t>
      </w:r>
      <w:r w:rsidRPr="00EB29EE">
        <w:rPr>
          <w:szCs w:val="24"/>
        </w:rPr>
        <w:t xml:space="preserve"> (a)(5).</w:t>
      </w:r>
    </w:p>
    <w:p w14:paraId="57B63860" w14:textId="77777777" w:rsidR="00824107" w:rsidRDefault="00824107" w:rsidP="00554269">
      <w:pPr>
        <w:rPr>
          <w:szCs w:val="24"/>
        </w:rPr>
      </w:pPr>
    </w:p>
    <w:p w14:paraId="049D8D00" w14:textId="20356027" w:rsidR="00824107" w:rsidRDefault="00824107" w:rsidP="00824107">
      <w:pPr>
        <w:ind w:left="2880" w:hanging="720"/>
        <w:rPr>
          <w:szCs w:val="24"/>
        </w:rPr>
      </w:pPr>
      <w:r w:rsidRPr="007E412E">
        <w:rPr>
          <w:szCs w:val="24"/>
        </w:rPr>
        <w:lastRenderedPageBreak/>
        <w:t>G)</w:t>
      </w:r>
      <w:r>
        <w:rPr>
          <w:szCs w:val="24"/>
        </w:rPr>
        <w:tab/>
      </w:r>
      <w:r w:rsidRPr="007E412E">
        <w:rPr>
          <w:szCs w:val="24"/>
        </w:rPr>
        <w:t>If s</w:t>
      </w:r>
      <w:r>
        <w:rPr>
          <w:szCs w:val="24"/>
        </w:rPr>
        <w:t>upplier</w:t>
      </w:r>
      <w:r w:rsidRPr="007E412E">
        <w:rPr>
          <w:szCs w:val="24"/>
        </w:rPr>
        <w:t>s have multiple years of data, the most recent data must be used.</w:t>
      </w:r>
    </w:p>
    <w:p w14:paraId="2B36EF79" w14:textId="77777777" w:rsidR="00824107" w:rsidRDefault="00824107" w:rsidP="00554269">
      <w:pPr>
        <w:rPr>
          <w:szCs w:val="24"/>
        </w:rPr>
      </w:pPr>
    </w:p>
    <w:p w14:paraId="758DD0D1" w14:textId="07E6F598" w:rsidR="00824107" w:rsidRDefault="00824107" w:rsidP="00824107">
      <w:pPr>
        <w:ind w:left="2880" w:hanging="720"/>
        <w:rPr>
          <w:szCs w:val="24"/>
        </w:rPr>
      </w:pPr>
      <w:r w:rsidRPr="007E412E">
        <w:rPr>
          <w:szCs w:val="24"/>
        </w:rPr>
        <w:t>H)</w:t>
      </w:r>
      <w:r>
        <w:rPr>
          <w:szCs w:val="24"/>
        </w:rPr>
        <w:tab/>
      </w:r>
      <w:r w:rsidRPr="007E412E">
        <w:rPr>
          <w:szCs w:val="24"/>
        </w:rPr>
        <w:t>For s</w:t>
      </w:r>
      <w:r>
        <w:rPr>
          <w:szCs w:val="24"/>
        </w:rPr>
        <w:t>uppliers</w:t>
      </w:r>
      <w:r w:rsidRPr="007E412E">
        <w:rPr>
          <w:szCs w:val="24"/>
        </w:rPr>
        <w:t xml:space="preserve"> using previously acquired data that have fewer than the number of samples required in a continuous 12-month period for initial monitoring as listed in table </w:t>
      </w:r>
      <w:r>
        <w:rPr>
          <w:szCs w:val="24"/>
        </w:rPr>
        <w:t>1</w:t>
      </w:r>
      <w:r w:rsidRPr="007E412E">
        <w:rPr>
          <w:szCs w:val="24"/>
        </w:rPr>
        <w:t xml:space="preserve"> to </w:t>
      </w:r>
      <w:r>
        <w:rPr>
          <w:szCs w:val="24"/>
        </w:rPr>
        <w:t>subsection</w:t>
      </w:r>
      <w:r w:rsidRPr="007E412E">
        <w:rPr>
          <w:szCs w:val="24"/>
        </w:rPr>
        <w:t xml:space="preserve"> (b)(1)(E): All surface water </w:t>
      </w:r>
      <w:r>
        <w:rPr>
          <w:szCs w:val="24"/>
        </w:rPr>
        <w:t>supplier</w:t>
      </w:r>
      <w:r w:rsidRPr="007E412E">
        <w:rPr>
          <w:szCs w:val="24"/>
        </w:rPr>
        <w:t>s, GWUDI s</w:t>
      </w:r>
      <w:r>
        <w:rPr>
          <w:szCs w:val="24"/>
        </w:rPr>
        <w:t>upplier</w:t>
      </w:r>
      <w:r w:rsidRPr="007E412E">
        <w:rPr>
          <w:szCs w:val="24"/>
        </w:rPr>
        <w:t>s, and groundwater s</w:t>
      </w:r>
      <w:r>
        <w:rPr>
          <w:szCs w:val="24"/>
        </w:rPr>
        <w:t>upplier</w:t>
      </w:r>
      <w:r w:rsidRPr="007E412E">
        <w:rPr>
          <w:szCs w:val="24"/>
        </w:rPr>
        <w:t>s serving greater than 10,000 persons must collect in a calendar year one sample in each quarter that was not represented, two to four months apart from the months with available data; All groundwater s</w:t>
      </w:r>
      <w:r>
        <w:rPr>
          <w:szCs w:val="24"/>
        </w:rPr>
        <w:t>upplier</w:t>
      </w:r>
      <w:r w:rsidRPr="007E412E">
        <w:rPr>
          <w:szCs w:val="24"/>
        </w:rPr>
        <w:t>s serving 10,000 or fewer persons must collect one sample in the month that is five to seven months apart from the month in which the previous sample was taken.</w:t>
      </w:r>
    </w:p>
    <w:p w14:paraId="5C90D64A" w14:textId="77777777" w:rsidR="00824107" w:rsidRDefault="00824107" w:rsidP="00554269">
      <w:pPr>
        <w:rPr>
          <w:szCs w:val="24"/>
        </w:rPr>
      </w:pPr>
    </w:p>
    <w:p w14:paraId="3B79B22B" w14:textId="3D0DB0F5" w:rsidR="00824107" w:rsidRDefault="00824107" w:rsidP="00824107">
      <w:pPr>
        <w:ind w:left="2880" w:hanging="720"/>
        <w:rPr>
          <w:szCs w:val="24"/>
        </w:rPr>
      </w:pPr>
      <w:r w:rsidRPr="007E412E">
        <w:rPr>
          <w:szCs w:val="24"/>
        </w:rPr>
        <w:t>I)</w:t>
      </w:r>
      <w:r>
        <w:rPr>
          <w:szCs w:val="24"/>
        </w:rPr>
        <w:tab/>
      </w:r>
      <w:r w:rsidRPr="007E412E">
        <w:rPr>
          <w:szCs w:val="24"/>
        </w:rPr>
        <w:t xml:space="preserve">In determining the most recent data to report, a </w:t>
      </w:r>
      <w:r>
        <w:rPr>
          <w:szCs w:val="24"/>
        </w:rPr>
        <w:t>supplier</w:t>
      </w:r>
      <w:r w:rsidRPr="007E412E">
        <w:rPr>
          <w:szCs w:val="24"/>
        </w:rPr>
        <w:t xml:space="preserve"> must include all results provided by a laboratory whether above or below the practical quantitation levels. </w:t>
      </w:r>
      <w:r>
        <w:rPr>
          <w:szCs w:val="24"/>
        </w:rPr>
        <w:t xml:space="preserve"> </w:t>
      </w:r>
      <w:r w:rsidRPr="007E412E">
        <w:rPr>
          <w:szCs w:val="24"/>
        </w:rPr>
        <w:t xml:space="preserve">These results must be used for the purposes of determining the frequency with which a </w:t>
      </w:r>
      <w:r>
        <w:rPr>
          <w:szCs w:val="24"/>
        </w:rPr>
        <w:t xml:space="preserve">supplier </w:t>
      </w:r>
      <w:r w:rsidRPr="007E412E">
        <w:rPr>
          <w:szCs w:val="24"/>
        </w:rPr>
        <w:t>must monitor at that sampling point at the start of the compliance monitoring period.</w:t>
      </w:r>
    </w:p>
    <w:p w14:paraId="46B4FAEE" w14:textId="77777777" w:rsidR="00824107" w:rsidRDefault="00824107" w:rsidP="00554269">
      <w:pPr>
        <w:rPr>
          <w:szCs w:val="24"/>
        </w:rPr>
      </w:pPr>
    </w:p>
    <w:p w14:paraId="280B581A" w14:textId="401F56F5" w:rsidR="00824107" w:rsidRDefault="00824107" w:rsidP="00824107">
      <w:pPr>
        <w:ind w:left="2880" w:hanging="720"/>
        <w:rPr>
          <w:szCs w:val="24"/>
        </w:rPr>
      </w:pPr>
      <w:r w:rsidRPr="00EA5EE3">
        <w:rPr>
          <w:szCs w:val="24"/>
        </w:rPr>
        <w:t>J)</w:t>
      </w:r>
      <w:r>
        <w:rPr>
          <w:szCs w:val="24"/>
        </w:rPr>
        <w:tab/>
      </w:r>
      <w:r w:rsidRPr="00EA5EE3">
        <w:rPr>
          <w:szCs w:val="24"/>
        </w:rPr>
        <w:t xml:space="preserve">The Agency may delete results of obvious sampling errors. </w:t>
      </w:r>
      <w:r>
        <w:rPr>
          <w:szCs w:val="24"/>
        </w:rPr>
        <w:t xml:space="preserve"> </w:t>
      </w:r>
      <w:r w:rsidRPr="00EA5EE3">
        <w:rPr>
          <w:szCs w:val="24"/>
        </w:rPr>
        <w:t xml:space="preserve">If the Agency deletes a result because of an obvious sampling error and the supplier fails to collect another sample this is a monitoring violation described in </w:t>
      </w:r>
      <w:r w:rsidRPr="000B4312">
        <w:rPr>
          <w:szCs w:val="24"/>
        </w:rPr>
        <w:t>Section 611.</w:t>
      </w:r>
      <w:r w:rsidR="008C4FCC">
        <w:rPr>
          <w:szCs w:val="24"/>
        </w:rPr>
        <w:t>7905</w:t>
      </w:r>
      <w:r w:rsidRPr="000B4312">
        <w:rPr>
          <w:szCs w:val="24"/>
        </w:rPr>
        <w:t>(c).</w:t>
      </w:r>
    </w:p>
    <w:p w14:paraId="563F968A" w14:textId="77777777" w:rsidR="00824107" w:rsidRDefault="00824107" w:rsidP="00554269">
      <w:pPr>
        <w:rPr>
          <w:szCs w:val="24"/>
        </w:rPr>
      </w:pPr>
    </w:p>
    <w:p w14:paraId="607F15B5" w14:textId="6CB9DF69" w:rsidR="00824107" w:rsidRDefault="00824107" w:rsidP="00824107">
      <w:pPr>
        <w:ind w:left="2880" w:hanging="720"/>
        <w:rPr>
          <w:szCs w:val="24"/>
        </w:rPr>
      </w:pPr>
      <w:r w:rsidRPr="007E412E">
        <w:rPr>
          <w:szCs w:val="24"/>
        </w:rPr>
        <w:t>K)</w:t>
      </w:r>
      <w:r>
        <w:rPr>
          <w:szCs w:val="24"/>
        </w:rPr>
        <w:tab/>
      </w:r>
      <w:r w:rsidRPr="007E412E">
        <w:rPr>
          <w:szCs w:val="24"/>
        </w:rPr>
        <w:t xml:space="preserve">Initial monitoring requirements, including reporting results to the </w:t>
      </w:r>
      <w:r>
        <w:rPr>
          <w:szCs w:val="24"/>
        </w:rPr>
        <w:t>Agency</w:t>
      </w:r>
      <w:r w:rsidRPr="007E412E">
        <w:rPr>
          <w:szCs w:val="24"/>
        </w:rPr>
        <w:t>, must be completed by April 26, 2027.</w:t>
      </w:r>
    </w:p>
    <w:p w14:paraId="067097F9" w14:textId="77777777" w:rsidR="00824107" w:rsidRDefault="00824107" w:rsidP="00554269">
      <w:pPr>
        <w:rPr>
          <w:szCs w:val="24"/>
        </w:rPr>
      </w:pPr>
    </w:p>
    <w:p w14:paraId="2882EF6B" w14:textId="2FF7573D" w:rsidR="00824107" w:rsidRDefault="00824107" w:rsidP="00824107">
      <w:pPr>
        <w:ind w:left="720" w:firstLine="720"/>
        <w:rPr>
          <w:szCs w:val="24"/>
        </w:rPr>
      </w:pPr>
      <w:r w:rsidRPr="007E412E">
        <w:rPr>
          <w:szCs w:val="24"/>
        </w:rPr>
        <w:t>2)</w:t>
      </w:r>
      <w:r>
        <w:rPr>
          <w:szCs w:val="24"/>
        </w:rPr>
        <w:tab/>
      </w:r>
      <w:r w:rsidRPr="007E412E">
        <w:rPr>
          <w:szCs w:val="24"/>
        </w:rPr>
        <w:t xml:space="preserve">Compliance </w:t>
      </w:r>
      <w:r>
        <w:rPr>
          <w:szCs w:val="24"/>
        </w:rPr>
        <w:t>M</w:t>
      </w:r>
      <w:r w:rsidRPr="007E412E">
        <w:rPr>
          <w:szCs w:val="24"/>
        </w:rPr>
        <w:t xml:space="preserve">onitoring. </w:t>
      </w:r>
    </w:p>
    <w:p w14:paraId="4227AC0B" w14:textId="77777777" w:rsidR="00824107" w:rsidRDefault="00824107" w:rsidP="00554269">
      <w:pPr>
        <w:rPr>
          <w:szCs w:val="24"/>
        </w:rPr>
      </w:pPr>
    </w:p>
    <w:p w14:paraId="0700097A" w14:textId="5EF6772B" w:rsidR="00824107" w:rsidRDefault="00824107" w:rsidP="00824107">
      <w:pPr>
        <w:ind w:left="2880" w:hanging="720"/>
        <w:rPr>
          <w:szCs w:val="24"/>
        </w:rPr>
      </w:pPr>
      <w:r w:rsidRPr="007E412E">
        <w:rPr>
          <w:szCs w:val="24"/>
        </w:rPr>
        <w:t>A)</w:t>
      </w:r>
      <w:r>
        <w:rPr>
          <w:szCs w:val="24"/>
        </w:rPr>
        <w:tab/>
      </w:r>
      <w:r w:rsidRPr="007E412E">
        <w:rPr>
          <w:szCs w:val="24"/>
        </w:rPr>
        <w:t>Based on initial monitoring results, at the start of the monitoring period that begins on April 26, 2027, s</w:t>
      </w:r>
      <w:r>
        <w:rPr>
          <w:szCs w:val="24"/>
        </w:rPr>
        <w:t>uppliers</w:t>
      </w:r>
      <w:r w:rsidRPr="007E412E">
        <w:rPr>
          <w:szCs w:val="24"/>
        </w:rPr>
        <w:t xml:space="preserve"> may reduce monitoring at each sampling point at which all reported sample concentrations were below all trigger levels defined in </w:t>
      </w:r>
      <w:r>
        <w:rPr>
          <w:szCs w:val="24"/>
        </w:rPr>
        <w:t>subsection</w:t>
      </w:r>
      <w:r w:rsidRPr="007E412E">
        <w:rPr>
          <w:szCs w:val="24"/>
        </w:rPr>
        <w:t xml:space="preserve"> (a)(5), unless otherwise provided for by the </w:t>
      </w:r>
      <w:r>
        <w:rPr>
          <w:szCs w:val="24"/>
        </w:rPr>
        <w:t>Agency</w:t>
      </w:r>
      <w:r w:rsidRPr="007E412E">
        <w:rPr>
          <w:szCs w:val="24"/>
        </w:rPr>
        <w:t xml:space="preserve">. </w:t>
      </w:r>
      <w:r>
        <w:rPr>
          <w:szCs w:val="24"/>
        </w:rPr>
        <w:t xml:space="preserve"> </w:t>
      </w:r>
      <w:r w:rsidRPr="007E412E">
        <w:rPr>
          <w:szCs w:val="24"/>
        </w:rPr>
        <w:t xml:space="preserve">At eligible sampling points, each </w:t>
      </w:r>
      <w:r>
        <w:rPr>
          <w:szCs w:val="24"/>
        </w:rPr>
        <w:t>supplier</w:t>
      </w:r>
      <w:r w:rsidRPr="007E412E">
        <w:rPr>
          <w:szCs w:val="24"/>
        </w:rPr>
        <w:t xml:space="preserve"> must analyze one sample for all regulated PFAS during each three-year monitoring period, at a time specified by the </w:t>
      </w:r>
      <w:r>
        <w:rPr>
          <w:szCs w:val="24"/>
        </w:rPr>
        <w:t>Agency</w:t>
      </w:r>
      <w:r w:rsidRPr="007E412E">
        <w:rPr>
          <w:szCs w:val="24"/>
        </w:rPr>
        <w:t xml:space="preserve">, in the quarter in which the highest analytical result was detected during the most recent round of quarterly or semi-annual monitoring. </w:t>
      </w:r>
      <w:r>
        <w:rPr>
          <w:szCs w:val="24"/>
        </w:rPr>
        <w:t xml:space="preserve"> </w:t>
      </w:r>
      <w:r w:rsidRPr="007E412E">
        <w:rPr>
          <w:szCs w:val="24"/>
        </w:rPr>
        <w:t xml:space="preserve">If a sampling point is not eligible for triennial monitoring, then the </w:t>
      </w:r>
      <w:r>
        <w:rPr>
          <w:szCs w:val="24"/>
        </w:rPr>
        <w:t>supplier</w:t>
      </w:r>
      <w:r w:rsidRPr="007E412E">
        <w:rPr>
          <w:szCs w:val="24"/>
        </w:rPr>
        <w:t xml:space="preserve"> must monitor quarterly at the start of the compliance monitoring period.</w:t>
      </w:r>
    </w:p>
    <w:p w14:paraId="27783AE1" w14:textId="77777777" w:rsidR="00824107" w:rsidRDefault="00824107" w:rsidP="00554269">
      <w:pPr>
        <w:rPr>
          <w:szCs w:val="24"/>
        </w:rPr>
      </w:pPr>
    </w:p>
    <w:p w14:paraId="4A778DFF" w14:textId="1E30BC91" w:rsidR="00824107" w:rsidRDefault="00824107" w:rsidP="00824107">
      <w:pPr>
        <w:ind w:left="2880" w:hanging="720"/>
        <w:rPr>
          <w:szCs w:val="24"/>
        </w:rPr>
      </w:pPr>
      <w:r w:rsidRPr="007E412E">
        <w:rPr>
          <w:szCs w:val="24"/>
        </w:rPr>
        <w:t>B)</w:t>
      </w:r>
      <w:r>
        <w:rPr>
          <w:szCs w:val="24"/>
        </w:rPr>
        <w:tab/>
      </w:r>
      <w:r w:rsidRPr="007E412E">
        <w:rPr>
          <w:szCs w:val="24"/>
        </w:rPr>
        <w:t xml:space="preserve">If, during the compliance monitoring period, a </w:t>
      </w:r>
      <w:r>
        <w:rPr>
          <w:szCs w:val="24"/>
        </w:rPr>
        <w:t>supplier</w:t>
      </w:r>
      <w:r w:rsidRPr="007E412E">
        <w:rPr>
          <w:szCs w:val="24"/>
        </w:rPr>
        <w:t xml:space="preserve"> is monitoring triennially and a PFAS listed in Section 611.311(c) is </w:t>
      </w:r>
      <w:r w:rsidRPr="007E412E">
        <w:rPr>
          <w:szCs w:val="24"/>
        </w:rPr>
        <w:lastRenderedPageBreak/>
        <w:t xml:space="preserve">detected at a level equal to or exceeding the trigger levels defined in </w:t>
      </w:r>
      <w:r>
        <w:rPr>
          <w:szCs w:val="24"/>
        </w:rPr>
        <w:t>subsection</w:t>
      </w:r>
      <w:r w:rsidRPr="007E412E">
        <w:rPr>
          <w:szCs w:val="24"/>
        </w:rPr>
        <w:t xml:space="preserve"> (a)(5) in any sample, then the s</w:t>
      </w:r>
      <w:r>
        <w:rPr>
          <w:szCs w:val="24"/>
        </w:rPr>
        <w:t>upplier</w:t>
      </w:r>
      <w:r w:rsidRPr="007E412E">
        <w:rPr>
          <w:szCs w:val="24"/>
        </w:rPr>
        <w:t xml:space="preserve"> must monitor quarterly for all regulated PFAS beginning in the next quarter at the sampling point. </w:t>
      </w:r>
      <w:r>
        <w:rPr>
          <w:szCs w:val="24"/>
        </w:rPr>
        <w:t xml:space="preserve"> </w:t>
      </w:r>
      <w:r w:rsidRPr="007E412E">
        <w:rPr>
          <w:szCs w:val="24"/>
        </w:rPr>
        <w:t>The triggering sample must be used as the first quarter of monitoring for the running annual average calculation.</w:t>
      </w:r>
    </w:p>
    <w:p w14:paraId="678F5BAE" w14:textId="77777777" w:rsidR="00824107" w:rsidRDefault="00824107" w:rsidP="00554269">
      <w:pPr>
        <w:rPr>
          <w:szCs w:val="24"/>
        </w:rPr>
      </w:pPr>
    </w:p>
    <w:p w14:paraId="01BD1F92" w14:textId="064B9818" w:rsidR="00824107" w:rsidRDefault="00824107" w:rsidP="00824107">
      <w:pPr>
        <w:ind w:left="2880" w:hanging="720"/>
        <w:rPr>
          <w:szCs w:val="24"/>
        </w:rPr>
      </w:pPr>
      <w:r w:rsidRPr="007E412E">
        <w:rPr>
          <w:szCs w:val="24"/>
        </w:rPr>
        <w:t>C)</w:t>
      </w:r>
      <w:r>
        <w:rPr>
          <w:szCs w:val="24"/>
        </w:rPr>
        <w:tab/>
      </w:r>
      <w:r w:rsidRPr="007E412E">
        <w:rPr>
          <w:szCs w:val="24"/>
        </w:rPr>
        <w:t xml:space="preserve">For all source water types, </w:t>
      </w:r>
      <w:r>
        <w:rPr>
          <w:szCs w:val="24"/>
        </w:rPr>
        <w:t>the Agency</w:t>
      </w:r>
      <w:r w:rsidRPr="007E412E">
        <w:rPr>
          <w:szCs w:val="24"/>
        </w:rPr>
        <w:t xml:space="preserve"> may determine that all regulated PFAS at a sampling point are reliably and consistently below the MCL after considering, at a minimum, four consecutive quarterly samples collected during the compliance monitoring period. </w:t>
      </w:r>
      <w:r>
        <w:rPr>
          <w:szCs w:val="24"/>
        </w:rPr>
        <w:t xml:space="preserve"> </w:t>
      </w:r>
      <w:r w:rsidRPr="007E412E">
        <w:rPr>
          <w:szCs w:val="24"/>
        </w:rPr>
        <w:t xml:space="preserve">A sampling point that </w:t>
      </w:r>
      <w:r>
        <w:rPr>
          <w:szCs w:val="24"/>
        </w:rPr>
        <w:t>the Agency</w:t>
      </w:r>
      <w:r w:rsidRPr="007E412E">
        <w:rPr>
          <w:szCs w:val="24"/>
        </w:rPr>
        <w:t xml:space="preserve"> has determined to be reliably and consistently below the MCL is required to collect annual samples for at least the first three years after that determination is made. </w:t>
      </w:r>
      <w:r>
        <w:rPr>
          <w:szCs w:val="24"/>
        </w:rPr>
        <w:t xml:space="preserve"> </w:t>
      </w:r>
      <w:r w:rsidRPr="007E412E">
        <w:rPr>
          <w:szCs w:val="24"/>
        </w:rPr>
        <w:t xml:space="preserve">Annual samples must be collected in the quarter in which detected concentrations were highest during the most recent year of quarterly monitoring. </w:t>
      </w:r>
      <w:r>
        <w:rPr>
          <w:szCs w:val="24"/>
        </w:rPr>
        <w:t xml:space="preserve"> </w:t>
      </w:r>
      <w:r w:rsidRPr="007E412E">
        <w:rPr>
          <w:szCs w:val="24"/>
        </w:rPr>
        <w:t xml:space="preserve">If, after three consecutive years, annual samples all contain results that are below the trigger levels defined in </w:t>
      </w:r>
      <w:r>
        <w:rPr>
          <w:szCs w:val="24"/>
        </w:rPr>
        <w:t>subsection</w:t>
      </w:r>
      <w:r w:rsidRPr="007E412E">
        <w:rPr>
          <w:szCs w:val="24"/>
        </w:rPr>
        <w:t xml:space="preserve"> (a)(5), the </w:t>
      </w:r>
      <w:r>
        <w:rPr>
          <w:szCs w:val="24"/>
        </w:rPr>
        <w:t>Agency</w:t>
      </w:r>
      <w:r w:rsidRPr="007E412E">
        <w:rPr>
          <w:szCs w:val="24"/>
        </w:rPr>
        <w:t xml:space="preserve"> may allow a s</w:t>
      </w:r>
      <w:r>
        <w:rPr>
          <w:szCs w:val="24"/>
        </w:rPr>
        <w:t>upplier</w:t>
      </w:r>
      <w:r w:rsidRPr="007E412E">
        <w:rPr>
          <w:szCs w:val="24"/>
        </w:rPr>
        <w:t xml:space="preserve"> to begin triennial monitoring at the sampling point. </w:t>
      </w:r>
      <w:r>
        <w:rPr>
          <w:szCs w:val="24"/>
        </w:rPr>
        <w:t xml:space="preserve"> </w:t>
      </w:r>
      <w:r w:rsidRPr="007E412E">
        <w:rPr>
          <w:szCs w:val="24"/>
        </w:rPr>
        <w:t xml:space="preserve">The </w:t>
      </w:r>
      <w:r>
        <w:rPr>
          <w:szCs w:val="24"/>
        </w:rPr>
        <w:t>supplier</w:t>
      </w:r>
      <w:r w:rsidRPr="007E412E">
        <w:rPr>
          <w:szCs w:val="24"/>
        </w:rPr>
        <w:t xml:space="preserve"> must collect triennial samples in the quarter with the highest concentrations during the most recent round of quarterly sampling. </w:t>
      </w:r>
      <w:r>
        <w:rPr>
          <w:szCs w:val="24"/>
        </w:rPr>
        <w:t xml:space="preserve"> </w:t>
      </w:r>
      <w:r w:rsidRPr="007E412E">
        <w:rPr>
          <w:szCs w:val="24"/>
        </w:rPr>
        <w:t xml:space="preserve">If an annual sample meets or exceeds an MCL or the </w:t>
      </w:r>
      <w:r>
        <w:rPr>
          <w:szCs w:val="24"/>
        </w:rPr>
        <w:t>Agency</w:t>
      </w:r>
      <w:r w:rsidRPr="007E412E">
        <w:rPr>
          <w:szCs w:val="24"/>
        </w:rPr>
        <w:t xml:space="preserve"> determines that the result is not reliably and consistently below the MCL for all regulated PFAS, then the s</w:t>
      </w:r>
      <w:r>
        <w:rPr>
          <w:szCs w:val="24"/>
        </w:rPr>
        <w:t>upplier</w:t>
      </w:r>
      <w:r w:rsidRPr="007E412E">
        <w:rPr>
          <w:szCs w:val="24"/>
        </w:rPr>
        <w:t xml:space="preserve"> must monitor quarterly for all regulated PFAS beginning in the next quarter at the sampling point.</w:t>
      </w:r>
    </w:p>
    <w:p w14:paraId="4F70D318" w14:textId="77777777" w:rsidR="00824107" w:rsidRDefault="00824107" w:rsidP="00554269">
      <w:pPr>
        <w:rPr>
          <w:szCs w:val="24"/>
        </w:rPr>
      </w:pPr>
    </w:p>
    <w:p w14:paraId="365F1C42" w14:textId="031F6C3F" w:rsidR="00824107" w:rsidRDefault="00824107" w:rsidP="00824107">
      <w:pPr>
        <w:ind w:left="2880" w:hanging="720"/>
        <w:rPr>
          <w:szCs w:val="24"/>
        </w:rPr>
      </w:pPr>
      <w:r w:rsidRPr="007E412E">
        <w:rPr>
          <w:szCs w:val="24"/>
        </w:rPr>
        <w:t>D)</w:t>
      </w:r>
      <w:r>
        <w:rPr>
          <w:szCs w:val="24"/>
        </w:rPr>
        <w:tab/>
      </w:r>
      <w:r w:rsidRPr="007E412E">
        <w:rPr>
          <w:szCs w:val="24"/>
        </w:rPr>
        <w:t xml:space="preserve">The three different compliance monitoring sampling schedules that may be assigned and the criteria for each are summarized in the following </w:t>
      </w:r>
      <w:r w:rsidRPr="00321B59">
        <w:rPr>
          <w:szCs w:val="24"/>
        </w:rPr>
        <w:t>table:</w:t>
      </w:r>
    </w:p>
    <w:p w14:paraId="79CBE6F7" w14:textId="77777777" w:rsidR="00824107" w:rsidRDefault="00824107" w:rsidP="00554269">
      <w:pPr>
        <w:rPr>
          <w:szCs w:val="24"/>
        </w:rPr>
      </w:pPr>
    </w:p>
    <w:p w14:paraId="1E688D84" w14:textId="77777777" w:rsidR="00824107" w:rsidRDefault="00824107" w:rsidP="00824107">
      <w:pPr>
        <w:ind w:left="720"/>
        <w:rPr>
          <w:szCs w:val="24"/>
        </w:rPr>
      </w:pPr>
      <w:r w:rsidRPr="004940B6">
        <w:rPr>
          <w:szCs w:val="24"/>
        </w:rPr>
        <w:t>Section 611.</w:t>
      </w:r>
      <w:r>
        <w:rPr>
          <w:szCs w:val="24"/>
        </w:rPr>
        <w:t>79</w:t>
      </w:r>
      <w:r w:rsidRPr="004940B6">
        <w:rPr>
          <w:szCs w:val="24"/>
        </w:rPr>
        <w:t xml:space="preserve">02 (b)(2)(D) TABLE </w:t>
      </w:r>
      <w:r>
        <w:rPr>
          <w:szCs w:val="24"/>
        </w:rPr>
        <w:t xml:space="preserve">1:  </w:t>
      </w:r>
      <w:r w:rsidRPr="004940B6">
        <w:rPr>
          <w:szCs w:val="24"/>
        </w:rPr>
        <w:t xml:space="preserve">Compliance Monitoring Schedules and </w:t>
      </w:r>
      <w:r>
        <w:rPr>
          <w:szCs w:val="24"/>
        </w:rPr>
        <w:t>Re</w:t>
      </w:r>
      <w:r w:rsidRPr="004940B6">
        <w:rPr>
          <w:szCs w:val="24"/>
        </w:rPr>
        <w:t>quirements</w:t>
      </w:r>
    </w:p>
    <w:p w14:paraId="2C09B721" w14:textId="77777777" w:rsidR="00824107" w:rsidRPr="004940B6" w:rsidRDefault="00824107" w:rsidP="00554269">
      <w:pPr>
        <w:rPr>
          <w:szCs w:val="24"/>
        </w:rPr>
      </w:pPr>
    </w:p>
    <w:tbl>
      <w:tblPr>
        <w:tblStyle w:val="TableGrid2"/>
        <w:tblW w:w="9000" w:type="dxa"/>
        <w:tblInd w:w="805" w:type="dxa"/>
        <w:tblLook w:val="04A0" w:firstRow="1" w:lastRow="0" w:firstColumn="1" w:lastColumn="0" w:noHBand="0" w:noVBand="1"/>
      </w:tblPr>
      <w:tblGrid>
        <w:gridCol w:w="1710"/>
        <w:gridCol w:w="4545"/>
        <w:gridCol w:w="2745"/>
      </w:tblGrid>
      <w:tr w:rsidR="00824107" w:rsidRPr="00467B9C" w14:paraId="7F3727C8" w14:textId="77777777" w:rsidTr="00315927">
        <w:tc>
          <w:tcPr>
            <w:tcW w:w="1710" w:type="dxa"/>
            <w:shd w:val="clear" w:color="auto" w:fill="auto"/>
          </w:tcPr>
          <w:p w14:paraId="0BC32CFB" w14:textId="77777777" w:rsidR="00824107" w:rsidRPr="00FA7699" w:rsidRDefault="00824107" w:rsidP="00B01A96">
            <w:pPr>
              <w:spacing w:before="240" w:after="240"/>
              <w:jc w:val="center"/>
              <w:rPr>
                <w:szCs w:val="24"/>
              </w:rPr>
            </w:pPr>
            <w:r w:rsidRPr="00FA7699">
              <w:rPr>
                <w:szCs w:val="24"/>
              </w:rPr>
              <w:t>Sampling Frequency</w:t>
            </w:r>
          </w:p>
        </w:tc>
        <w:tc>
          <w:tcPr>
            <w:tcW w:w="4545" w:type="dxa"/>
            <w:shd w:val="clear" w:color="auto" w:fill="auto"/>
          </w:tcPr>
          <w:p w14:paraId="59A1514E" w14:textId="77777777" w:rsidR="00824107" w:rsidRPr="00FA7699" w:rsidRDefault="00824107" w:rsidP="00B01A96">
            <w:pPr>
              <w:spacing w:before="240" w:after="240"/>
              <w:jc w:val="center"/>
              <w:rPr>
                <w:szCs w:val="24"/>
              </w:rPr>
            </w:pPr>
            <w:r w:rsidRPr="00FA7699">
              <w:rPr>
                <w:szCs w:val="24"/>
              </w:rPr>
              <w:t>Eligibility Requirements</w:t>
            </w:r>
            <w:r w:rsidRPr="00FA7699">
              <w:rPr>
                <w:szCs w:val="24"/>
                <w:vertAlign w:val="superscript"/>
              </w:rPr>
              <w:t>1</w:t>
            </w:r>
          </w:p>
        </w:tc>
        <w:tc>
          <w:tcPr>
            <w:tcW w:w="2745" w:type="dxa"/>
            <w:shd w:val="clear" w:color="auto" w:fill="auto"/>
            <w:vAlign w:val="bottom"/>
          </w:tcPr>
          <w:p w14:paraId="1CB8F90D" w14:textId="77777777" w:rsidR="00824107" w:rsidRPr="00FA7699" w:rsidRDefault="00824107" w:rsidP="00B01A96">
            <w:pPr>
              <w:spacing w:before="240" w:after="240"/>
              <w:rPr>
                <w:szCs w:val="24"/>
              </w:rPr>
            </w:pPr>
            <w:r w:rsidRPr="00FA7699">
              <w:rPr>
                <w:szCs w:val="24"/>
              </w:rPr>
              <w:t>Sample Timing Requirements</w:t>
            </w:r>
          </w:p>
        </w:tc>
      </w:tr>
      <w:tr w:rsidR="00824107" w:rsidRPr="00467B9C" w14:paraId="76637C1F" w14:textId="77777777" w:rsidTr="00315927">
        <w:tc>
          <w:tcPr>
            <w:tcW w:w="1710" w:type="dxa"/>
            <w:shd w:val="clear" w:color="auto" w:fill="auto"/>
          </w:tcPr>
          <w:p w14:paraId="01FE2F7A" w14:textId="77777777" w:rsidR="00824107" w:rsidRPr="00FA7699" w:rsidRDefault="00824107" w:rsidP="00B01A96">
            <w:pPr>
              <w:spacing w:before="240" w:after="240"/>
              <w:jc w:val="both"/>
              <w:rPr>
                <w:szCs w:val="24"/>
              </w:rPr>
            </w:pPr>
            <w:r w:rsidRPr="00FA7699">
              <w:rPr>
                <w:szCs w:val="24"/>
              </w:rPr>
              <w:t>Triennial</w:t>
            </w:r>
          </w:p>
        </w:tc>
        <w:tc>
          <w:tcPr>
            <w:tcW w:w="4545" w:type="dxa"/>
            <w:shd w:val="clear" w:color="auto" w:fill="auto"/>
          </w:tcPr>
          <w:p w14:paraId="0F700CB4" w14:textId="77777777" w:rsidR="00824107" w:rsidRPr="00FA7699" w:rsidRDefault="00824107" w:rsidP="00B01A96">
            <w:pPr>
              <w:spacing w:before="240" w:after="240"/>
              <w:rPr>
                <w:szCs w:val="24"/>
              </w:rPr>
            </w:pPr>
            <w:r w:rsidRPr="00FA7699">
              <w:rPr>
                <w:szCs w:val="24"/>
              </w:rPr>
              <w:t>At an individual sampling point, either:</w:t>
            </w:r>
          </w:p>
          <w:p w14:paraId="58A3FD67" w14:textId="77777777" w:rsidR="00824107" w:rsidRPr="00FA7699" w:rsidRDefault="00824107" w:rsidP="00B01A96">
            <w:pPr>
              <w:spacing w:before="240" w:after="240"/>
              <w:rPr>
                <w:szCs w:val="24"/>
              </w:rPr>
            </w:pPr>
            <w:r w:rsidRPr="00FA7699">
              <w:rPr>
                <w:szCs w:val="24"/>
              </w:rPr>
              <w:t>(1)  All initial monitoring results demonstrate concentrations of all regulated PFAS below trigger levels;</w:t>
            </w:r>
          </w:p>
          <w:p w14:paraId="263D491D" w14:textId="77777777" w:rsidR="00824107" w:rsidRPr="00FA7699" w:rsidRDefault="00824107" w:rsidP="00B01A96">
            <w:pPr>
              <w:spacing w:before="240" w:after="240"/>
              <w:rPr>
                <w:szCs w:val="24"/>
              </w:rPr>
            </w:pPr>
            <w:r w:rsidRPr="00FA7699">
              <w:rPr>
                <w:szCs w:val="24"/>
              </w:rPr>
              <w:t xml:space="preserve">(2)  The most recent three consecutive annual monitoring results all demonstrated </w:t>
            </w:r>
            <w:r w:rsidRPr="00FA7699">
              <w:rPr>
                <w:szCs w:val="24"/>
              </w:rPr>
              <w:lastRenderedPageBreak/>
              <w:t>concentrations of all regulated PFAS below trigger levels; or</w:t>
            </w:r>
          </w:p>
          <w:p w14:paraId="182A9835" w14:textId="77777777" w:rsidR="00824107" w:rsidRPr="00FA7699" w:rsidRDefault="00824107" w:rsidP="00B01A96">
            <w:pPr>
              <w:spacing w:before="240" w:after="240"/>
              <w:rPr>
                <w:szCs w:val="24"/>
              </w:rPr>
            </w:pPr>
            <w:r w:rsidRPr="00FA7699">
              <w:rPr>
                <w:szCs w:val="24"/>
              </w:rPr>
              <w:t>(3)  The previous triennial sample demonstrated all regulated PFAS concentrations below trigger levels..</w:t>
            </w:r>
          </w:p>
          <w:p w14:paraId="351DE559" w14:textId="77777777" w:rsidR="00824107" w:rsidRPr="00FA7699" w:rsidRDefault="00824107" w:rsidP="00B01A96">
            <w:pPr>
              <w:spacing w:before="240" w:after="240"/>
              <w:rPr>
                <w:szCs w:val="24"/>
              </w:rPr>
            </w:pPr>
            <w:r w:rsidRPr="00FA7699">
              <w:rPr>
                <w:szCs w:val="24"/>
              </w:rPr>
              <w:t>Note:  After beginning compliance monitoring, a supplier may not transition directly from quarterly monitoring to triennial monitoring…</w:t>
            </w:r>
          </w:p>
        </w:tc>
        <w:tc>
          <w:tcPr>
            <w:tcW w:w="2745" w:type="dxa"/>
            <w:shd w:val="clear" w:color="auto" w:fill="auto"/>
          </w:tcPr>
          <w:p w14:paraId="56F454BB" w14:textId="77777777" w:rsidR="00824107" w:rsidRPr="00FA7699" w:rsidRDefault="00824107" w:rsidP="00B01A96">
            <w:pPr>
              <w:spacing w:before="240" w:after="240"/>
              <w:rPr>
                <w:szCs w:val="24"/>
              </w:rPr>
            </w:pPr>
            <w:r w:rsidRPr="00FA7699">
              <w:rPr>
                <w:szCs w:val="24"/>
              </w:rPr>
              <w:lastRenderedPageBreak/>
              <w:t xml:space="preserve">Sample must be collected at a time within the three-year period designated by the Agency, in the quarter that yielded the highest analytical result during the most recent round of quarterly sampling (or the </w:t>
            </w:r>
            <w:r w:rsidRPr="00FA7699">
              <w:rPr>
                <w:szCs w:val="24"/>
              </w:rPr>
              <w:lastRenderedPageBreak/>
              <w:t>most recent semi-annual sampling, if no quarterly sampling has occurred).</w:t>
            </w:r>
          </w:p>
        </w:tc>
      </w:tr>
      <w:tr w:rsidR="00824107" w:rsidRPr="00467B9C" w14:paraId="08D54250" w14:textId="77777777" w:rsidTr="00315927">
        <w:tc>
          <w:tcPr>
            <w:tcW w:w="1710" w:type="dxa"/>
            <w:shd w:val="clear" w:color="auto" w:fill="auto"/>
          </w:tcPr>
          <w:p w14:paraId="619DAA92" w14:textId="77777777" w:rsidR="00824107" w:rsidRPr="00FA7699" w:rsidRDefault="00824107" w:rsidP="00B01A96">
            <w:pPr>
              <w:spacing w:before="240" w:after="240"/>
              <w:rPr>
                <w:szCs w:val="24"/>
              </w:rPr>
            </w:pPr>
            <w:r w:rsidRPr="00FA7699">
              <w:rPr>
                <w:szCs w:val="24"/>
              </w:rPr>
              <w:lastRenderedPageBreak/>
              <w:t>Annual</w:t>
            </w:r>
          </w:p>
        </w:tc>
        <w:tc>
          <w:tcPr>
            <w:tcW w:w="4545" w:type="dxa"/>
            <w:shd w:val="clear" w:color="auto" w:fill="auto"/>
          </w:tcPr>
          <w:p w14:paraId="78A57FDF" w14:textId="77777777" w:rsidR="00824107" w:rsidRPr="00FA7699" w:rsidRDefault="00824107" w:rsidP="00B01A96">
            <w:pPr>
              <w:spacing w:before="240" w:after="240"/>
              <w:rPr>
                <w:szCs w:val="24"/>
              </w:rPr>
            </w:pPr>
            <w:r w:rsidRPr="00FA7699">
              <w:rPr>
                <w:szCs w:val="24"/>
              </w:rPr>
              <w:t>The Agency makes a determination that all regulated PFAS concentrations at the sampling point are reliably and consistently below PFAS MCLs, after considering, at a minimum, 4 consecutive quarterly samples collected during the compliance monitoring period.</w:t>
            </w:r>
          </w:p>
        </w:tc>
        <w:tc>
          <w:tcPr>
            <w:tcW w:w="2745" w:type="dxa"/>
            <w:shd w:val="clear" w:color="auto" w:fill="auto"/>
          </w:tcPr>
          <w:p w14:paraId="0027903E" w14:textId="77777777" w:rsidR="00824107" w:rsidRPr="00FA7699" w:rsidRDefault="00824107" w:rsidP="00B01A96">
            <w:pPr>
              <w:spacing w:before="240" w:after="240"/>
              <w:rPr>
                <w:szCs w:val="24"/>
              </w:rPr>
            </w:pPr>
            <w:r w:rsidRPr="00FA7699">
              <w:rPr>
                <w:szCs w:val="24"/>
              </w:rPr>
              <w:t>Sample must be collected at a time designated by the Agency, within the quarter that yielded the highest analytical result during the most recent round of quarterly sampling.</w:t>
            </w:r>
          </w:p>
        </w:tc>
      </w:tr>
      <w:tr w:rsidR="00824107" w:rsidRPr="00467B9C" w14:paraId="08D2396B" w14:textId="77777777" w:rsidTr="00315927">
        <w:tc>
          <w:tcPr>
            <w:tcW w:w="1710" w:type="dxa"/>
            <w:shd w:val="clear" w:color="auto" w:fill="auto"/>
          </w:tcPr>
          <w:p w14:paraId="785DBBD8" w14:textId="77777777" w:rsidR="00824107" w:rsidRPr="00FA7699" w:rsidRDefault="00824107" w:rsidP="00B01A96">
            <w:pPr>
              <w:spacing w:before="240" w:after="240"/>
              <w:rPr>
                <w:szCs w:val="24"/>
              </w:rPr>
            </w:pPr>
            <w:r w:rsidRPr="00FA7699">
              <w:rPr>
                <w:szCs w:val="24"/>
              </w:rPr>
              <w:t>Quarterly</w:t>
            </w:r>
          </w:p>
        </w:tc>
        <w:tc>
          <w:tcPr>
            <w:tcW w:w="4545" w:type="dxa"/>
            <w:shd w:val="clear" w:color="auto" w:fill="auto"/>
          </w:tcPr>
          <w:p w14:paraId="3EFC524F" w14:textId="77777777" w:rsidR="00824107" w:rsidRPr="00FA7699" w:rsidRDefault="00824107" w:rsidP="00B01A96">
            <w:pPr>
              <w:spacing w:before="240" w:after="240"/>
              <w:rPr>
                <w:szCs w:val="24"/>
              </w:rPr>
            </w:pPr>
            <w:r w:rsidRPr="00FA7699">
              <w:rPr>
                <w:szCs w:val="24"/>
              </w:rPr>
              <w:t>At an individual sampling point, either:</w:t>
            </w:r>
          </w:p>
          <w:p w14:paraId="70EE6D33" w14:textId="77777777" w:rsidR="00824107" w:rsidRPr="00FA7699" w:rsidRDefault="00824107" w:rsidP="00B01A96">
            <w:pPr>
              <w:spacing w:before="240" w:after="240"/>
              <w:rPr>
                <w:szCs w:val="24"/>
              </w:rPr>
            </w:pPr>
            <w:r w:rsidRPr="00FA7699">
              <w:rPr>
                <w:szCs w:val="24"/>
              </w:rPr>
              <w:t>(1)  Any regulated PFAS concentration meets or exceeds a trigger level during initial monitoring;</w:t>
            </w:r>
          </w:p>
          <w:p w14:paraId="05E028D4" w14:textId="77777777" w:rsidR="00824107" w:rsidRPr="00FA7699" w:rsidRDefault="00824107" w:rsidP="00B01A96">
            <w:pPr>
              <w:spacing w:before="240" w:after="240"/>
              <w:rPr>
                <w:szCs w:val="24"/>
              </w:rPr>
            </w:pPr>
            <w:r w:rsidRPr="00FA7699">
              <w:rPr>
                <w:szCs w:val="24"/>
              </w:rPr>
              <w:t>(2)  Sampling is occurring quarterly during compliance monitoring and the Agency has not made a determination that all levels of regulated PFAS at the sampling point are reliably and consistently below the regulated PFAS MCLs; or</w:t>
            </w:r>
          </w:p>
          <w:p w14:paraId="038B04B1" w14:textId="77777777" w:rsidR="00824107" w:rsidRPr="00FA7699" w:rsidRDefault="00824107" w:rsidP="00B01A96">
            <w:pPr>
              <w:spacing w:before="240" w:after="240"/>
              <w:rPr>
                <w:szCs w:val="24"/>
              </w:rPr>
            </w:pPr>
            <w:r w:rsidRPr="00FA7699">
              <w:rPr>
                <w:szCs w:val="24"/>
              </w:rPr>
              <w:t>(3)  A sample collected by a supplier required to conduct triennial monitoring contains regulated PFAS concentrations that meet or exceed trigger levels.  The first of these samples meeting or exceeding the trigger level is considered the first quarterly sample.</w:t>
            </w:r>
          </w:p>
          <w:p w14:paraId="073FAC35" w14:textId="77777777" w:rsidR="00824107" w:rsidRPr="00FA7699" w:rsidRDefault="00824107" w:rsidP="00B01A96">
            <w:pPr>
              <w:spacing w:before="240" w:after="240"/>
              <w:rPr>
                <w:szCs w:val="24"/>
              </w:rPr>
            </w:pPr>
            <w:r w:rsidRPr="00FA7699">
              <w:rPr>
                <w:szCs w:val="24"/>
              </w:rPr>
              <w:t xml:space="preserve">(4)  A sample collected by a supplier required to conduct annual monitoring contains regulated PFAS concentrations that meet or exceed an MCL.  The first of these </w:t>
            </w:r>
            <w:r w:rsidRPr="00FA7699">
              <w:rPr>
                <w:szCs w:val="24"/>
              </w:rPr>
              <w:lastRenderedPageBreak/>
              <w:t>samples meeting or exceeding the MCL is considered the first quarterly sample.</w:t>
            </w:r>
          </w:p>
        </w:tc>
        <w:tc>
          <w:tcPr>
            <w:tcW w:w="2745" w:type="dxa"/>
            <w:shd w:val="clear" w:color="auto" w:fill="auto"/>
          </w:tcPr>
          <w:p w14:paraId="30BE1FAF" w14:textId="77777777" w:rsidR="00824107" w:rsidRPr="00FA7699" w:rsidRDefault="00824107" w:rsidP="00B01A96">
            <w:pPr>
              <w:spacing w:before="240" w:after="240"/>
              <w:rPr>
                <w:szCs w:val="24"/>
              </w:rPr>
            </w:pPr>
            <w:r w:rsidRPr="00FA7699">
              <w:rPr>
                <w:szCs w:val="24"/>
              </w:rPr>
              <w:lastRenderedPageBreak/>
              <w:t>Samples must be collected in four consecutive quarters, on dates designated by the Agency.</w:t>
            </w:r>
          </w:p>
        </w:tc>
      </w:tr>
      <w:tr w:rsidR="00824107" w:rsidRPr="00467B9C" w14:paraId="636A9469" w14:textId="77777777" w:rsidTr="00315927">
        <w:tc>
          <w:tcPr>
            <w:tcW w:w="9000" w:type="dxa"/>
            <w:gridSpan w:val="3"/>
            <w:shd w:val="clear" w:color="auto" w:fill="auto"/>
          </w:tcPr>
          <w:p w14:paraId="03F1843C" w14:textId="77777777" w:rsidR="00824107" w:rsidRPr="00FA7699" w:rsidRDefault="00824107" w:rsidP="00B01A96">
            <w:pPr>
              <w:spacing w:before="240" w:after="240"/>
              <w:rPr>
                <w:szCs w:val="24"/>
              </w:rPr>
            </w:pPr>
            <w:r w:rsidRPr="00FA7699">
              <w:rPr>
                <w:szCs w:val="24"/>
                <w:vertAlign w:val="superscript"/>
              </w:rPr>
              <w:t>1</w:t>
            </w:r>
            <w:r w:rsidRPr="00FA7699">
              <w:rPr>
                <w:szCs w:val="24"/>
              </w:rPr>
              <w:t xml:space="preserve"> The monitoring frequency at a sampling point must be the same for all regulated PFAS and is determined based on the most frequent sampling required for any regulated PFAS detected at a level at or exceeding the trigger level.</w:t>
            </w:r>
          </w:p>
        </w:tc>
      </w:tr>
    </w:tbl>
    <w:p w14:paraId="0ACC7D34" w14:textId="77777777" w:rsidR="00824107" w:rsidRDefault="00824107" w:rsidP="00554269">
      <w:pPr>
        <w:rPr>
          <w:szCs w:val="24"/>
        </w:rPr>
      </w:pPr>
    </w:p>
    <w:p w14:paraId="61EBED6F" w14:textId="75BA8365" w:rsidR="00824107" w:rsidRDefault="00824107" w:rsidP="00824107">
      <w:pPr>
        <w:ind w:left="2880" w:hanging="720"/>
        <w:rPr>
          <w:szCs w:val="24"/>
        </w:rPr>
      </w:pPr>
      <w:r w:rsidRPr="00A90A3E">
        <w:rPr>
          <w:szCs w:val="24"/>
        </w:rPr>
        <w:t>E)</w:t>
      </w:r>
      <w:r>
        <w:rPr>
          <w:szCs w:val="24"/>
        </w:rPr>
        <w:tab/>
      </w:r>
      <w:r w:rsidRPr="00A90A3E">
        <w:rPr>
          <w:szCs w:val="24"/>
        </w:rPr>
        <w:t xml:space="preserve">The Agency may require a confirmation sample for any sampling result. </w:t>
      </w:r>
      <w:r>
        <w:rPr>
          <w:szCs w:val="24"/>
        </w:rPr>
        <w:t xml:space="preserve"> </w:t>
      </w:r>
      <w:r w:rsidRPr="00A90A3E">
        <w:rPr>
          <w:szCs w:val="24"/>
        </w:rPr>
        <w:t>If a confirmation sample is required by the Agency, the supplier must average the result with the first sampling result and the average must be used for the determination of compliance with MCLs as specified by Section 611.</w:t>
      </w:r>
      <w:r>
        <w:rPr>
          <w:szCs w:val="24"/>
        </w:rPr>
        <w:t>79</w:t>
      </w:r>
      <w:r w:rsidRPr="00A90A3E">
        <w:rPr>
          <w:szCs w:val="24"/>
        </w:rPr>
        <w:t>03</w:t>
      </w:r>
      <w:r w:rsidRPr="004940B6">
        <w:rPr>
          <w:szCs w:val="24"/>
        </w:rPr>
        <w:t>.</w:t>
      </w:r>
      <w:r w:rsidRPr="00A90A3E">
        <w:rPr>
          <w:szCs w:val="24"/>
        </w:rPr>
        <w:t xml:space="preserve">  The Agency may delete results of obvious sampling errors from the MCL compliance calculations described in </w:t>
      </w:r>
      <w:r w:rsidRPr="004940B6">
        <w:rPr>
          <w:szCs w:val="24"/>
        </w:rPr>
        <w:t>Section 611.</w:t>
      </w:r>
      <w:r>
        <w:rPr>
          <w:szCs w:val="24"/>
        </w:rPr>
        <w:t>79</w:t>
      </w:r>
      <w:r w:rsidRPr="004940B6">
        <w:rPr>
          <w:szCs w:val="24"/>
        </w:rPr>
        <w:t>03.</w:t>
      </w:r>
      <w:r w:rsidRPr="00A90A3E">
        <w:rPr>
          <w:szCs w:val="24"/>
        </w:rPr>
        <w:t xml:space="preserve"> </w:t>
      </w:r>
      <w:r>
        <w:rPr>
          <w:szCs w:val="24"/>
        </w:rPr>
        <w:t xml:space="preserve"> </w:t>
      </w:r>
      <w:r w:rsidRPr="00A90A3E">
        <w:rPr>
          <w:szCs w:val="24"/>
        </w:rPr>
        <w:t xml:space="preserve">If the Agency deletes a result because of an obvious sampling error and the supplier fails to collect another sample this is a monitoring violation as described in </w:t>
      </w:r>
      <w:r w:rsidRPr="004940B6">
        <w:rPr>
          <w:szCs w:val="24"/>
        </w:rPr>
        <w:t>Section 611.</w:t>
      </w:r>
      <w:r>
        <w:rPr>
          <w:szCs w:val="24"/>
        </w:rPr>
        <w:t>79</w:t>
      </w:r>
      <w:r w:rsidRPr="004940B6">
        <w:rPr>
          <w:szCs w:val="24"/>
        </w:rPr>
        <w:t>05(c).</w:t>
      </w:r>
    </w:p>
    <w:p w14:paraId="3300A859" w14:textId="77777777" w:rsidR="00824107" w:rsidRDefault="00824107" w:rsidP="00554269">
      <w:pPr>
        <w:rPr>
          <w:szCs w:val="24"/>
        </w:rPr>
      </w:pPr>
    </w:p>
    <w:p w14:paraId="3B471CD3" w14:textId="01C08AC0" w:rsidR="00824107" w:rsidRDefault="00824107" w:rsidP="00824107">
      <w:pPr>
        <w:ind w:left="2880" w:hanging="720"/>
        <w:rPr>
          <w:szCs w:val="24"/>
        </w:rPr>
      </w:pPr>
      <w:r w:rsidRPr="007E412E">
        <w:rPr>
          <w:szCs w:val="24"/>
        </w:rPr>
        <w:t>F)</w:t>
      </w:r>
      <w:r>
        <w:rPr>
          <w:szCs w:val="24"/>
        </w:rPr>
        <w:tab/>
      </w:r>
      <w:r w:rsidRPr="007E412E">
        <w:rPr>
          <w:szCs w:val="24"/>
        </w:rPr>
        <w:t xml:space="preserve">The </w:t>
      </w:r>
      <w:r>
        <w:rPr>
          <w:szCs w:val="24"/>
        </w:rPr>
        <w:t>Agency</w:t>
      </w:r>
      <w:r w:rsidRPr="007E412E">
        <w:rPr>
          <w:szCs w:val="24"/>
        </w:rPr>
        <w:t xml:space="preserve"> may increase the required monitoring frequency, where necessary, to detect variations within the </w:t>
      </w:r>
      <w:r>
        <w:rPr>
          <w:szCs w:val="24"/>
        </w:rPr>
        <w:t xml:space="preserve">supplier's </w:t>
      </w:r>
      <w:r w:rsidRPr="007E412E">
        <w:rPr>
          <w:szCs w:val="24"/>
        </w:rPr>
        <w:t>system (e.g., fluctuations in concentration due to seasonal use, changes in water source).</w:t>
      </w:r>
    </w:p>
    <w:p w14:paraId="322990DC" w14:textId="77777777" w:rsidR="00824107" w:rsidRDefault="00824107" w:rsidP="00554269">
      <w:pPr>
        <w:rPr>
          <w:szCs w:val="24"/>
        </w:rPr>
      </w:pPr>
    </w:p>
    <w:p w14:paraId="7FA72953" w14:textId="1E6423A6" w:rsidR="00824107" w:rsidRDefault="00824107" w:rsidP="00824107">
      <w:pPr>
        <w:ind w:left="2880" w:hanging="720"/>
        <w:rPr>
          <w:szCs w:val="24"/>
        </w:rPr>
      </w:pPr>
      <w:r w:rsidRPr="007E412E">
        <w:rPr>
          <w:szCs w:val="24"/>
        </w:rPr>
        <w:t>G)</w:t>
      </w:r>
      <w:r>
        <w:rPr>
          <w:szCs w:val="24"/>
        </w:rPr>
        <w:tab/>
      </w:r>
      <w:r w:rsidRPr="007E412E">
        <w:rPr>
          <w:szCs w:val="24"/>
        </w:rPr>
        <w:t xml:space="preserve">Each </w:t>
      </w:r>
      <w:r>
        <w:rPr>
          <w:szCs w:val="24"/>
        </w:rPr>
        <w:t>supplier</w:t>
      </w:r>
      <w:r w:rsidRPr="007E412E">
        <w:rPr>
          <w:szCs w:val="24"/>
        </w:rPr>
        <w:t xml:space="preserve"> must monitor at the time designated by the </w:t>
      </w:r>
      <w:r>
        <w:rPr>
          <w:szCs w:val="24"/>
        </w:rPr>
        <w:t xml:space="preserve">Agency </w:t>
      </w:r>
      <w:r w:rsidRPr="007E412E">
        <w:rPr>
          <w:szCs w:val="24"/>
        </w:rPr>
        <w:t>within each monitoring period.</w:t>
      </w:r>
    </w:p>
    <w:p w14:paraId="4AE95A73" w14:textId="77777777" w:rsidR="00824107" w:rsidRDefault="00824107" w:rsidP="00554269">
      <w:pPr>
        <w:rPr>
          <w:szCs w:val="24"/>
        </w:rPr>
      </w:pPr>
    </w:p>
    <w:p w14:paraId="753FCD02" w14:textId="78273221" w:rsidR="00824107" w:rsidRDefault="00824107" w:rsidP="00824107">
      <w:pPr>
        <w:ind w:left="2880" w:hanging="720"/>
        <w:rPr>
          <w:szCs w:val="24"/>
        </w:rPr>
      </w:pPr>
      <w:r w:rsidRPr="007E412E">
        <w:rPr>
          <w:szCs w:val="24"/>
        </w:rPr>
        <w:t>H)</w:t>
      </w:r>
      <w:r>
        <w:rPr>
          <w:szCs w:val="24"/>
        </w:rPr>
        <w:tab/>
      </w:r>
      <w:r w:rsidRPr="007E412E">
        <w:rPr>
          <w:szCs w:val="24"/>
        </w:rPr>
        <w:t xml:space="preserve">When a </w:t>
      </w:r>
      <w:r>
        <w:rPr>
          <w:szCs w:val="24"/>
        </w:rPr>
        <w:t>supplier</w:t>
      </w:r>
      <w:r w:rsidRPr="007E412E">
        <w:rPr>
          <w:szCs w:val="24"/>
        </w:rPr>
        <w:t xml:space="preserve"> reduces its sampling frequency to annual or triennial sampling, the next compliance sample must be collected in the monitoring period that begins the calendar year following </w:t>
      </w:r>
      <w:r>
        <w:rPr>
          <w:szCs w:val="24"/>
        </w:rPr>
        <w:t>Agency</w:t>
      </w:r>
      <w:r w:rsidRPr="007E412E">
        <w:rPr>
          <w:szCs w:val="24"/>
        </w:rPr>
        <w:t xml:space="preserve"> approval of a reduction in monitoring frequency.</w:t>
      </w:r>
    </w:p>
    <w:p w14:paraId="2BA8C0C3" w14:textId="77777777" w:rsidR="00824107" w:rsidRDefault="00824107" w:rsidP="00824107">
      <w:pPr>
        <w:rPr>
          <w:szCs w:val="24"/>
        </w:rPr>
      </w:pPr>
    </w:p>
    <w:p w14:paraId="03F7B636" w14:textId="77777777" w:rsidR="00824107" w:rsidRDefault="00824107" w:rsidP="00824107">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r>
        <w:rPr>
          <w:rFonts w:eastAsia="Calibri"/>
        </w:rPr>
        <w:t>2</w:t>
      </w:r>
    </w:p>
    <w:p w14:paraId="5115E007" w14:textId="77777777" w:rsidR="00824107" w:rsidRDefault="00824107" w:rsidP="00824107">
      <w:pPr>
        <w:rPr>
          <w:szCs w:val="24"/>
        </w:rPr>
      </w:pPr>
    </w:p>
    <w:p w14:paraId="6388B223" w14:textId="7C580C6D" w:rsidR="000174EB" w:rsidRPr="00093935" w:rsidRDefault="00824107" w:rsidP="00824107">
      <w:pPr>
        <w:ind w:firstLine="720"/>
      </w:pPr>
      <w:r w:rsidRPr="00EE0FDC">
        <w:t xml:space="preserve">(Source:  Added at </w:t>
      </w:r>
      <w:r w:rsidR="003D1ABD">
        <w:t>50</w:t>
      </w:r>
      <w:r w:rsidRPr="00EE0FDC">
        <w:t xml:space="preserve"> Ill. Reg. </w:t>
      </w:r>
      <w:r w:rsidR="00A21B3B">
        <w:t>2531</w:t>
      </w:r>
      <w:r w:rsidRPr="00EE0FDC">
        <w:t xml:space="preserve">, effective </w:t>
      </w:r>
      <w:r w:rsidR="00A21B3B">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C005" w14:textId="77777777" w:rsidR="00F62B63" w:rsidRDefault="00F62B63">
      <w:r>
        <w:separator/>
      </w:r>
    </w:p>
  </w:endnote>
  <w:endnote w:type="continuationSeparator" w:id="0">
    <w:p w14:paraId="25EB39BA" w14:textId="77777777" w:rsidR="00F62B63" w:rsidRDefault="00F6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C69A" w14:textId="77777777" w:rsidR="00F62B63" w:rsidRDefault="00F62B63">
      <w:r>
        <w:separator/>
      </w:r>
    </w:p>
  </w:footnote>
  <w:footnote w:type="continuationSeparator" w:id="0">
    <w:p w14:paraId="40B27A76" w14:textId="77777777" w:rsidR="00F62B63" w:rsidRDefault="00F62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92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ABD"/>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4269"/>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8F1"/>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107"/>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4FCC"/>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B3B"/>
    <w:rsid w:val="00A2265D"/>
    <w:rsid w:val="00A2373D"/>
    <w:rsid w:val="00A248FC"/>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72F"/>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2B6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69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17F1E"/>
  <w15:chartTrackingRefBased/>
  <w15:docId w15:val="{36D6685D-E27E-4B21-A93D-DBF2073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10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39"/>
    <w:rsid w:val="00824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24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241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urrent/title-40/section-141.9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40/section-141.9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2047</Words>
  <Characters>11465</Characters>
  <Application>Microsoft Office Word</Application>
  <DocSecurity>0</DocSecurity>
  <Lines>95</Lines>
  <Paragraphs>26</Paragraphs>
  <ScaleCrop>false</ScaleCrop>
  <Company>Illinois General Assembly</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2026-02-27T15:51:00Z</dcterms:modified>
</cp:coreProperties>
</file>