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C0" w:rsidRPr="00625DC0" w:rsidRDefault="00625DC0" w:rsidP="00625DC0">
      <w:pPr>
        <w:rPr>
          <w:b/>
        </w:rPr>
      </w:pPr>
    </w:p>
    <w:p w:rsidR="00625DC0" w:rsidRPr="00625DC0" w:rsidRDefault="00625DC0" w:rsidP="00625DC0">
      <w:pPr>
        <w:rPr>
          <w:b/>
        </w:rPr>
      </w:pPr>
      <w:r w:rsidRPr="00625DC0">
        <w:rPr>
          <w:b/>
        </w:rPr>
        <w:t>Section 611.976</w:t>
      </w:r>
      <w:r>
        <w:rPr>
          <w:b/>
        </w:rPr>
        <w:t xml:space="preserve">  </w:t>
      </w:r>
      <w:r w:rsidRPr="00625DC0">
        <w:rPr>
          <w:b/>
        </w:rPr>
        <w:t>Operational Evaluation Levels</w:t>
      </w:r>
    </w:p>
    <w:p w:rsidR="00625DC0" w:rsidRPr="00625DC0" w:rsidRDefault="00625DC0" w:rsidP="00625DC0">
      <w:pPr>
        <w:rPr>
          <w:b/>
        </w:rPr>
      </w:pPr>
    </w:p>
    <w:p w:rsidR="00625DC0" w:rsidRPr="00625DC0" w:rsidRDefault="00625DC0" w:rsidP="00625DC0">
      <w:pPr>
        <w:ind w:left="1440" w:hanging="720"/>
        <w:rPr>
          <w:szCs w:val="18"/>
        </w:rPr>
      </w:pPr>
      <w:r w:rsidRPr="00625DC0">
        <w:t>a)</w:t>
      </w:r>
      <w:r>
        <w:tab/>
      </w:r>
      <w:r w:rsidRPr="00625DC0">
        <w:rPr>
          <w:szCs w:val="18"/>
        </w:rPr>
        <w:t>A supplier has exceeded the operational evaluation level at any monitoring location where the sum of the two previous quarters</w:t>
      </w:r>
      <w:r>
        <w:rPr>
          <w:szCs w:val="18"/>
        </w:rPr>
        <w:t>'</w:t>
      </w:r>
      <w:r w:rsidRPr="00625DC0">
        <w:rPr>
          <w:szCs w:val="18"/>
        </w:rPr>
        <w:t xml:space="preserve"> TTHM results plus twice the current quarter</w:t>
      </w:r>
      <w:r>
        <w:rPr>
          <w:szCs w:val="18"/>
        </w:rPr>
        <w:t>'</w:t>
      </w:r>
      <w:r w:rsidRPr="00625DC0">
        <w:rPr>
          <w:szCs w:val="18"/>
        </w:rPr>
        <w:t xml:space="preserve">s TTHM result, divided by </w:t>
      </w:r>
      <w:r w:rsidR="00DF0B8E">
        <w:rPr>
          <w:szCs w:val="18"/>
        </w:rPr>
        <w:t>four</w:t>
      </w:r>
      <w:r w:rsidRPr="00625DC0">
        <w:rPr>
          <w:szCs w:val="18"/>
        </w:rPr>
        <w:t xml:space="preserve"> to determine an average, exceeds 0.080 mg/ℓ, or where the sum of the two previous quarters</w:t>
      </w:r>
      <w:r>
        <w:rPr>
          <w:szCs w:val="18"/>
        </w:rPr>
        <w:t>'</w:t>
      </w:r>
      <w:r w:rsidRPr="00625DC0">
        <w:rPr>
          <w:szCs w:val="18"/>
        </w:rPr>
        <w:t xml:space="preserve"> HAA5 results plus twice the current quarter</w:t>
      </w:r>
      <w:r>
        <w:rPr>
          <w:szCs w:val="18"/>
        </w:rPr>
        <w:t>'</w:t>
      </w:r>
      <w:r w:rsidRPr="00625DC0">
        <w:rPr>
          <w:szCs w:val="18"/>
        </w:rPr>
        <w:t xml:space="preserve">s HAA5 result, divided by </w:t>
      </w:r>
      <w:r w:rsidR="00DF0B8E">
        <w:rPr>
          <w:szCs w:val="18"/>
        </w:rPr>
        <w:t>four</w:t>
      </w:r>
      <w:r w:rsidRPr="00625DC0">
        <w:rPr>
          <w:szCs w:val="18"/>
        </w:rPr>
        <w:t xml:space="preserve"> to determine an average, exceeds 0.060 mg/ℓ.</w:t>
      </w:r>
    </w:p>
    <w:p w:rsidR="00625DC0" w:rsidRPr="00625DC0" w:rsidRDefault="00625DC0" w:rsidP="00625DC0">
      <w:pPr>
        <w:rPr>
          <w:szCs w:val="18"/>
        </w:rPr>
      </w:pPr>
    </w:p>
    <w:p w:rsidR="00625DC0" w:rsidRPr="00625DC0" w:rsidRDefault="00625DC0" w:rsidP="00625DC0">
      <w:pPr>
        <w:ind w:left="1440" w:hanging="720"/>
        <w:rPr>
          <w:szCs w:val="18"/>
        </w:rPr>
      </w:pPr>
      <w:r w:rsidRPr="00625DC0">
        <w:rPr>
          <w:szCs w:val="18"/>
        </w:rPr>
        <w:t>b)</w:t>
      </w:r>
      <w:r>
        <w:rPr>
          <w:szCs w:val="18"/>
        </w:rPr>
        <w:tab/>
      </w:r>
      <w:r w:rsidRPr="00625DC0">
        <w:rPr>
          <w:szCs w:val="18"/>
        </w:rPr>
        <w:t xml:space="preserve">Effects of </w:t>
      </w:r>
      <w:r w:rsidR="00602B77">
        <w:rPr>
          <w:szCs w:val="18"/>
        </w:rPr>
        <w:t>Exceeding</w:t>
      </w:r>
      <w:r w:rsidRPr="00625DC0">
        <w:rPr>
          <w:szCs w:val="18"/>
        </w:rPr>
        <w:t xml:space="preserve"> the </w:t>
      </w:r>
      <w:r w:rsidR="00602B77">
        <w:rPr>
          <w:szCs w:val="18"/>
        </w:rPr>
        <w:t>Operational Evaluation Level</w:t>
      </w:r>
    </w:p>
    <w:p w:rsidR="00625DC0" w:rsidRPr="00625DC0" w:rsidRDefault="00625DC0" w:rsidP="00625DC0">
      <w:pPr>
        <w:rPr>
          <w:szCs w:val="18"/>
        </w:rPr>
      </w:pPr>
    </w:p>
    <w:p w:rsidR="00625DC0" w:rsidRPr="00625DC0" w:rsidRDefault="00625DC0" w:rsidP="00625DC0">
      <w:pPr>
        <w:ind w:left="2160" w:hanging="720"/>
        <w:rPr>
          <w:szCs w:val="18"/>
        </w:rPr>
      </w:pPr>
      <w:r w:rsidRPr="00625DC0">
        <w:rPr>
          <w:szCs w:val="18"/>
        </w:rPr>
        <w:t>1)</w:t>
      </w:r>
      <w:r>
        <w:rPr>
          <w:szCs w:val="18"/>
        </w:rPr>
        <w:tab/>
      </w:r>
      <w:r w:rsidRPr="00625DC0">
        <w:rPr>
          <w:szCs w:val="18"/>
        </w:rPr>
        <w:t>If a supplier exceeds the operational evaluation level, the supplier must conduct an operational evaluation and submit a written report of the evaluation to the Agency no later than 90 days after being notified of the analytical result that causes it to exceed the operational evaluation level.  The written report must be made available to the public upon request.</w:t>
      </w:r>
    </w:p>
    <w:p w:rsidR="00625DC0" w:rsidRPr="00625DC0" w:rsidRDefault="00625DC0" w:rsidP="00625DC0">
      <w:pPr>
        <w:rPr>
          <w:szCs w:val="18"/>
        </w:rPr>
      </w:pPr>
    </w:p>
    <w:p w:rsidR="00625DC0" w:rsidRPr="00625DC0" w:rsidRDefault="00625DC0" w:rsidP="00625DC0">
      <w:pPr>
        <w:ind w:left="2160" w:hanging="720"/>
        <w:rPr>
          <w:szCs w:val="18"/>
        </w:rPr>
      </w:pPr>
      <w:r w:rsidRPr="00625DC0">
        <w:rPr>
          <w:szCs w:val="18"/>
        </w:rPr>
        <w:t>2)</w:t>
      </w:r>
      <w:r>
        <w:rPr>
          <w:szCs w:val="18"/>
        </w:rPr>
        <w:tab/>
      </w:r>
      <w:r w:rsidRPr="00625DC0">
        <w:rPr>
          <w:szCs w:val="18"/>
        </w:rPr>
        <w:t>The supplier</w:t>
      </w:r>
      <w:r>
        <w:rPr>
          <w:szCs w:val="18"/>
        </w:rPr>
        <w:t>'</w:t>
      </w:r>
      <w:r w:rsidRPr="00625DC0">
        <w:rPr>
          <w:szCs w:val="18"/>
        </w:rPr>
        <w:t xml:space="preserve">s operational evaluation must include an examination of system treatment and distribution operational practices, including storage tank operations, excess storage capacity, distribution system flushing, changes in sources or source water quality, and treatment changes or problems that may contribute to TTHM and HAA5 formation and what steps could be considered to minimize future </w:t>
      </w:r>
      <w:r w:rsidR="005850EB" w:rsidRPr="00D52C55">
        <w:rPr>
          <w:szCs w:val="18"/>
        </w:rPr>
        <w:t>exceedances</w:t>
      </w:r>
      <w:r w:rsidRPr="00625DC0">
        <w:rPr>
          <w:szCs w:val="18"/>
        </w:rPr>
        <w:t>.</w:t>
      </w:r>
    </w:p>
    <w:p w:rsidR="00625DC0" w:rsidRPr="00625DC0" w:rsidRDefault="00625DC0" w:rsidP="00625DC0">
      <w:pPr>
        <w:rPr>
          <w:szCs w:val="18"/>
        </w:rPr>
      </w:pPr>
    </w:p>
    <w:p w:rsidR="00625DC0" w:rsidRPr="00625DC0" w:rsidRDefault="00625DC0" w:rsidP="00625DC0">
      <w:pPr>
        <w:ind w:left="2880" w:hanging="720"/>
        <w:rPr>
          <w:szCs w:val="18"/>
        </w:rPr>
      </w:pPr>
      <w:r w:rsidRPr="00625DC0">
        <w:rPr>
          <w:szCs w:val="18"/>
        </w:rPr>
        <w:t>A)</w:t>
      </w:r>
      <w:r>
        <w:rPr>
          <w:szCs w:val="18"/>
        </w:rPr>
        <w:tab/>
      </w:r>
      <w:r w:rsidRPr="00625DC0">
        <w:rPr>
          <w:szCs w:val="18"/>
        </w:rPr>
        <w:t xml:space="preserve">A supplier may request and the Agency may allow the supplier to limit the scope of its evaluation if the supplier is able to identify the cause of the operational evaluation level </w:t>
      </w:r>
      <w:r w:rsidR="00B13B33" w:rsidRPr="00D52C55">
        <w:rPr>
          <w:szCs w:val="18"/>
        </w:rPr>
        <w:t>exceedance</w:t>
      </w:r>
      <w:r w:rsidRPr="00625DC0">
        <w:rPr>
          <w:szCs w:val="18"/>
        </w:rPr>
        <w:t>.</w:t>
      </w:r>
    </w:p>
    <w:p w:rsidR="00625DC0" w:rsidRPr="00625DC0" w:rsidRDefault="00625DC0" w:rsidP="00625DC0">
      <w:pPr>
        <w:rPr>
          <w:szCs w:val="18"/>
        </w:rPr>
      </w:pPr>
    </w:p>
    <w:p w:rsidR="00625DC0" w:rsidRPr="00625DC0" w:rsidRDefault="00625DC0" w:rsidP="00625DC0">
      <w:pPr>
        <w:ind w:left="2880" w:hanging="720"/>
        <w:rPr>
          <w:szCs w:val="18"/>
        </w:rPr>
      </w:pPr>
      <w:r w:rsidRPr="00625DC0">
        <w:rPr>
          <w:szCs w:val="18"/>
        </w:rPr>
        <w:t>B)</w:t>
      </w:r>
      <w:r>
        <w:rPr>
          <w:szCs w:val="18"/>
        </w:rPr>
        <w:tab/>
      </w:r>
      <w:r w:rsidRPr="00625DC0">
        <w:rPr>
          <w:szCs w:val="18"/>
        </w:rPr>
        <w:t>A supplier</w:t>
      </w:r>
      <w:r>
        <w:rPr>
          <w:szCs w:val="18"/>
        </w:rPr>
        <w:t>'</w:t>
      </w:r>
      <w:r w:rsidRPr="00625DC0">
        <w:rPr>
          <w:szCs w:val="18"/>
        </w:rPr>
        <w:t>s request to limit the scope of the evaluation does not extend the schedule in subsection (b)(1) for submitting the written report.  The Agency must approve this limited scope of evaluation in writing, and the supplier must keep that approval with the completed report.</w:t>
      </w:r>
    </w:p>
    <w:p w:rsidR="00625DC0" w:rsidRPr="00625DC0" w:rsidRDefault="00625DC0" w:rsidP="00625DC0">
      <w:pPr>
        <w:rPr>
          <w:szCs w:val="18"/>
        </w:rPr>
      </w:pPr>
    </w:p>
    <w:p w:rsidR="00625DC0" w:rsidRPr="00625DC0" w:rsidRDefault="00625DC0" w:rsidP="00092AC5">
      <w:pPr>
        <w:ind w:firstLine="720"/>
      </w:pPr>
      <w:r w:rsidRPr="00625DC0">
        <w:t>BOARD NOTE:  Derived from 40 CFR 141.626.</w:t>
      </w:r>
    </w:p>
    <w:p w:rsidR="00625DC0" w:rsidRPr="00625DC0" w:rsidRDefault="00625DC0" w:rsidP="000E3BA8"/>
    <w:p w:rsidR="00A929E0" w:rsidRDefault="00A929E0" w:rsidP="00A929E0">
      <w:pPr>
        <w:pStyle w:val="JCARSourceNote"/>
        <w:ind w:left="720"/>
      </w:pPr>
      <w:r>
        <w:t xml:space="preserve">(Source:  Amended at 44 Ill. Reg. </w:t>
      </w:r>
      <w:r w:rsidR="004238FB">
        <w:t>6996</w:t>
      </w:r>
      <w:r>
        <w:t xml:space="preserve">, effective </w:t>
      </w:r>
      <w:bookmarkStart w:id="0" w:name="_GoBack"/>
      <w:r w:rsidR="004238FB">
        <w:t>April 17, 2020</w:t>
      </w:r>
      <w:bookmarkEnd w:id="0"/>
      <w:r>
        <w:t>)</w:t>
      </w:r>
    </w:p>
    <w:sectPr w:rsidR="00A929E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653" w:rsidRDefault="00420653">
      <w:r>
        <w:separator/>
      </w:r>
    </w:p>
  </w:endnote>
  <w:endnote w:type="continuationSeparator" w:id="0">
    <w:p w:rsidR="00420653" w:rsidRDefault="0042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653" w:rsidRDefault="00420653">
      <w:r>
        <w:separator/>
      </w:r>
    </w:p>
  </w:footnote>
  <w:footnote w:type="continuationSeparator" w:id="0">
    <w:p w:rsidR="00420653" w:rsidRDefault="00420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3890"/>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2AC5"/>
    <w:rsid w:val="000943C4"/>
    <w:rsid w:val="00097B01"/>
    <w:rsid w:val="000A4C0F"/>
    <w:rsid w:val="000B2808"/>
    <w:rsid w:val="000B2839"/>
    <w:rsid w:val="000B4119"/>
    <w:rsid w:val="000C6D3D"/>
    <w:rsid w:val="000C7A6D"/>
    <w:rsid w:val="000D074F"/>
    <w:rsid w:val="000D225F"/>
    <w:rsid w:val="000D269B"/>
    <w:rsid w:val="000E08CB"/>
    <w:rsid w:val="000E3BA8"/>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89D"/>
    <w:rsid w:val="001B5F27"/>
    <w:rsid w:val="001C1D61"/>
    <w:rsid w:val="001C71C2"/>
    <w:rsid w:val="001C7D95"/>
    <w:rsid w:val="001D0EBA"/>
    <w:rsid w:val="001D0EFC"/>
    <w:rsid w:val="001E3074"/>
    <w:rsid w:val="001F193E"/>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40229"/>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653"/>
    <w:rsid w:val="00420E63"/>
    <w:rsid w:val="004218A0"/>
    <w:rsid w:val="004238FB"/>
    <w:rsid w:val="00426A13"/>
    <w:rsid w:val="00431CFE"/>
    <w:rsid w:val="004326E0"/>
    <w:rsid w:val="004448CB"/>
    <w:rsid w:val="004536AB"/>
    <w:rsid w:val="00453E6F"/>
    <w:rsid w:val="0045702C"/>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B74CD"/>
    <w:rsid w:val="004D6EED"/>
    <w:rsid w:val="004D73D3"/>
    <w:rsid w:val="004D7E44"/>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50EB"/>
    <w:rsid w:val="00586A81"/>
    <w:rsid w:val="005901D4"/>
    <w:rsid w:val="005948A7"/>
    <w:rsid w:val="005A2494"/>
    <w:rsid w:val="005A73F7"/>
    <w:rsid w:val="005B2DD0"/>
    <w:rsid w:val="005D35F3"/>
    <w:rsid w:val="005E03A7"/>
    <w:rsid w:val="005E3D55"/>
    <w:rsid w:val="005F2891"/>
    <w:rsid w:val="00602B77"/>
    <w:rsid w:val="006132CE"/>
    <w:rsid w:val="00620BBA"/>
    <w:rsid w:val="006247D4"/>
    <w:rsid w:val="00625DC0"/>
    <w:rsid w:val="00631875"/>
    <w:rsid w:val="00634D17"/>
    <w:rsid w:val="00641AEA"/>
    <w:rsid w:val="0064660E"/>
    <w:rsid w:val="00651FF5"/>
    <w:rsid w:val="00662A80"/>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5E9C"/>
    <w:rsid w:val="00837F88"/>
    <w:rsid w:val="008425C1"/>
    <w:rsid w:val="00843EB6"/>
    <w:rsid w:val="00844ABA"/>
    <w:rsid w:val="0084781C"/>
    <w:rsid w:val="0086679B"/>
    <w:rsid w:val="0086753E"/>
    <w:rsid w:val="00870EF2"/>
    <w:rsid w:val="008717C5"/>
    <w:rsid w:val="0088338B"/>
    <w:rsid w:val="0088496F"/>
    <w:rsid w:val="008923A8"/>
    <w:rsid w:val="008B149B"/>
    <w:rsid w:val="008B56EA"/>
    <w:rsid w:val="008B77D8"/>
    <w:rsid w:val="008C1560"/>
    <w:rsid w:val="008C4FAF"/>
    <w:rsid w:val="008C5359"/>
    <w:rsid w:val="008D7182"/>
    <w:rsid w:val="008E68BC"/>
    <w:rsid w:val="008F087A"/>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64786"/>
    <w:rsid w:val="00A72534"/>
    <w:rsid w:val="00A809C5"/>
    <w:rsid w:val="00A86FF6"/>
    <w:rsid w:val="00A87EC5"/>
    <w:rsid w:val="00A929E0"/>
    <w:rsid w:val="00A94967"/>
    <w:rsid w:val="00A97CAE"/>
    <w:rsid w:val="00AA387B"/>
    <w:rsid w:val="00AA6F19"/>
    <w:rsid w:val="00AB12CF"/>
    <w:rsid w:val="00AB1466"/>
    <w:rsid w:val="00AC0DD5"/>
    <w:rsid w:val="00AC4914"/>
    <w:rsid w:val="00AC6F0C"/>
    <w:rsid w:val="00AC7225"/>
    <w:rsid w:val="00AD2A5F"/>
    <w:rsid w:val="00AD38AF"/>
    <w:rsid w:val="00AE031A"/>
    <w:rsid w:val="00AE5547"/>
    <w:rsid w:val="00AE776A"/>
    <w:rsid w:val="00AF2883"/>
    <w:rsid w:val="00AF3304"/>
    <w:rsid w:val="00AF4757"/>
    <w:rsid w:val="00AF768C"/>
    <w:rsid w:val="00B01411"/>
    <w:rsid w:val="00B03A6A"/>
    <w:rsid w:val="00B13B33"/>
    <w:rsid w:val="00B15414"/>
    <w:rsid w:val="00B17D78"/>
    <w:rsid w:val="00B23B52"/>
    <w:rsid w:val="00B2411F"/>
    <w:rsid w:val="00B35D67"/>
    <w:rsid w:val="00B420C1"/>
    <w:rsid w:val="00B4287F"/>
    <w:rsid w:val="00B44A11"/>
    <w:rsid w:val="00B516F7"/>
    <w:rsid w:val="00B530BA"/>
    <w:rsid w:val="00B557AA"/>
    <w:rsid w:val="00B620B6"/>
    <w:rsid w:val="00B63890"/>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0B8E"/>
    <w:rsid w:val="00DF25BD"/>
    <w:rsid w:val="00DF2C08"/>
    <w:rsid w:val="00E11728"/>
    <w:rsid w:val="00E24167"/>
    <w:rsid w:val="00E24878"/>
    <w:rsid w:val="00E34B29"/>
    <w:rsid w:val="00E406C7"/>
    <w:rsid w:val="00E40FDC"/>
    <w:rsid w:val="00E41211"/>
    <w:rsid w:val="00E4457E"/>
    <w:rsid w:val="00E47B6D"/>
    <w:rsid w:val="00E67B4F"/>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3D48"/>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1EF660-D305-4E79-8F7D-870CAB0C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625DC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625DC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849949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