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B57" w:rsidRPr="00100B57" w:rsidRDefault="00100B57" w:rsidP="00100B57">
      <w:pPr>
        <w:rPr>
          <w:b/>
        </w:rPr>
      </w:pPr>
    </w:p>
    <w:p w:rsidR="00100B57" w:rsidRPr="00100B57" w:rsidRDefault="00100B57" w:rsidP="00100B57">
      <w:pPr>
        <w:rPr>
          <w:b/>
        </w:rPr>
      </w:pPr>
      <w:r w:rsidRPr="00100B57">
        <w:rPr>
          <w:b/>
        </w:rPr>
        <w:t>Section 611.971  Routine Monitoring</w:t>
      </w:r>
    </w:p>
    <w:p w:rsidR="00100B57" w:rsidRPr="00100B57" w:rsidRDefault="00100B57" w:rsidP="00100B57">
      <w:pPr>
        <w:rPr>
          <w:b/>
        </w:rPr>
      </w:pPr>
    </w:p>
    <w:p w:rsidR="00100B57" w:rsidRPr="00100B57" w:rsidRDefault="00100B57" w:rsidP="00100B57">
      <w:pPr>
        <w:ind w:left="1440" w:hanging="720"/>
        <w:rPr>
          <w:szCs w:val="18"/>
        </w:rPr>
      </w:pPr>
      <w:r w:rsidRPr="00100B57">
        <w:t>a)</w:t>
      </w:r>
      <w:r>
        <w:tab/>
      </w:r>
      <w:r w:rsidRPr="00100B57">
        <w:rPr>
          <w:iCs/>
          <w:szCs w:val="18"/>
        </w:rPr>
        <w:t>Monitoring</w:t>
      </w:r>
    </w:p>
    <w:p w:rsidR="00100B57" w:rsidRPr="00100B57" w:rsidRDefault="00100B57" w:rsidP="00100B57">
      <w:pPr>
        <w:rPr>
          <w:szCs w:val="18"/>
        </w:rPr>
      </w:pPr>
    </w:p>
    <w:p w:rsidR="00100B57" w:rsidRPr="00100B57" w:rsidRDefault="00100B57" w:rsidP="00100B57">
      <w:pPr>
        <w:ind w:left="2160" w:hanging="720"/>
        <w:rPr>
          <w:szCs w:val="18"/>
        </w:rPr>
      </w:pPr>
      <w:r w:rsidRPr="00100B57">
        <w:rPr>
          <w:szCs w:val="18"/>
        </w:rPr>
        <w:t>1)</w:t>
      </w:r>
      <w:r>
        <w:rPr>
          <w:szCs w:val="18"/>
        </w:rPr>
        <w:tab/>
      </w:r>
      <w:r w:rsidRPr="00100B57">
        <w:rPr>
          <w:szCs w:val="18"/>
        </w:rPr>
        <w:t xml:space="preserve">If a supplier submitted an IDSE report, it must begin monitoring at the locations and during the months that the supplier has recommended in its IDSE report submitted </w:t>
      </w:r>
      <w:r w:rsidR="006C3EC5">
        <w:rPr>
          <w:szCs w:val="18"/>
        </w:rPr>
        <w:t>under</w:t>
      </w:r>
      <w:r w:rsidRPr="00100B57">
        <w:rPr>
          <w:szCs w:val="18"/>
        </w:rPr>
        <w:t xml:space="preserve"> Section 611.925, following the schedule set forth in Section 611.970(c), unless the Agency, by a SEP, requires other locations or additional locations after its review.  If the supplier submitted a 40/30 certification </w:t>
      </w:r>
      <w:r w:rsidR="006C3EC5">
        <w:rPr>
          <w:szCs w:val="18"/>
        </w:rPr>
        <w:t>under</w:t>
      </w:r>
      <w:r w:rsidRPr="00100B57">
        <w:rPr>
          <w:szCs w:val="18"/>
        </w:rPr>
        <w:t xml:space="preserve"> Section 611.923, it qualified for a very small system waiver </w:t>
      </w:r>
      <w:r w:rsidR="006C3EC5">
        <w:rPr>
          <w:szCs w:val="18"/>
        </w:rPr>
        <w:t>under</w:t>
      </w:r>
      <w:r w:rsidRPr="00100B57">
        <w:rPr>
          <w:szCs w:val="18"/>
        </w:rPr>
        <w:t xml:space="preserve"> Section 611.924, or it is a NTNCWS that serves fewer than 10,000 persons, the supplier must monitor at the locations and on the dates identified in its monitoring plan as described in Section 611.382(f), updated as required by Section 611.972.</w:t>
      </w:r>
    </w:p>
    <w:p w:rsidR="00100B57" w:rsidRPr="00100B57" w:rsidRDefault="00100B57" w:rsidP="00100B57">
      <w:pPr>
        <w:rPr>
          <w:szCs w:val="18"/>
        </w:rPr>
      </w:pPr>
    </w:p>
    <w:p w:rsidR="00100B57" w:rsidRPr="00100B57" w:rsidRDefault="00100B57" w:rsidP="00100B57">
      <w:pPr>
        <w:ind w:left="2160" w:hanging="720"/>
        <w:rPr>
          <w:szCs w:val="18"/>
        </w:rPr>
      </w:pPr>
      <w:r w:rsidRPr="00100B57">
        <w:rPr>
          <w:szCs w:val="18"/>
        </w:rPr>
        <w:t>2)</w:t>
      </w:r>
      <w:r>
        <w:rPr>
          <w:szCs w:val="18"/>
        </w:rPr>
        <w:tab/>
      </w:r>
      <w:r w:rsidRPr="00100B57">
        <w:rPr>
          <w:szCs w:val="18"/>
        </w:rPr>
        <w:t>The supplier must monitor at no fewer than the number of locations identified in the applicable of subsections (a)(2)(A) through (a)(2)(M), subject to the limitations of subsections (a)(2)(N) and (a)(2)(O).</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A)</w:t>
      </w:r>
      <w:r>
        <w:rPr>
          <w:szCs w:val="18"/>
        </w:rPr>
        <w:tab/>
      </w:r>
      <w:r w:rsidRPr="00100B57">
        <w:rPr>
          <w:szCs w:val="18"/>
        </w:rPr>
        <w:t>A Subpart B system supplier that serves fewer than 500 persons must monitor annually at two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B)</w:t>
      </w:r>
      <w:r>
        <w:rPr>
          <w:szCs w:val="18"/>
        </w:rPr>
        <w:tab/>
      </w:r>
      <w:r w:rsidRPr="00100B57">
        <w:rPr>
          <w:szCs w:val="18"/>
        </w:rPr>
        <w:t>A Subpart B system supplier that serves 500 to 3,300 persons must monitor quarterly at two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C)</w:t>
      </w:r>
      <w:r>
        <w:rPr>
          <w:szCs w:val="18"/>
        </w:rPr>
        <w:tab/>
      </w:r>
      <w:r w:rsidRPr="00100B57">
        <w:rPr>
          <w:szCs w:val="18"/>
        </w:rPr>
        <w:t>A Subpart B system supplier that serves 3,301 to 9,999 persons must monitor quarterly at two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D)</w:t>
      </w:r>
      <w:r>
        <w:rPr>
          <w:szCs w:val="18"/>
        </w:rPr>
        <w:tab/>
      </w:r>
      <w:r w:rsidRPr="00100B57">
        <w:rPr>
          <w:szCs w:val="18"/>
        </w:rPr>
        <w:t>A Subpart B system supplier that serves 10,000 to 49,999 persons must monitor quarterly at four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E)</w:t>
      </w:r>
      <w:r>
        <w:rPr>
          <w:szCs w:val="18"/>
        </w:rPr>
        <w:tab/>
      </w:r>
      <w:r w:rsidRPr="00100B57">
        <w:rPr>
          <w:szCs w:val="18"/>
        </w:rPr>
        <w:t>A Subpart B system supplier that serves 50,000 to 249,999 persons must monitor quarterly at eight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F)</w:t>
      </w:r>
      <w:r>
        <w:rPr>
          <w:szCs w:val="18"/>
        </w:rPr>
        <w:tab/>
      </w:r>
      <w:r w:rsidRPr="00100B57">
        <w:rPr>
          <w:szCs w:val="18"/>
        </w:rPr>
        <w:t>A Subpart B system supplier that serves 250,000 to 999,999 persons must monitor quarterly at 12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lastRenderedPageBreak/>
        <w:t>G)</w:t>
      </w:r>
      <w:r>
        <w:rPr>
          <w:szCs w:val="18"/>
        </w:rPr>
        <w:tab/>
      </w:r>
      <w:r w:rsidRPr="00100B57">
        <w:rPr>
          <w:szCs w:val="18"/>
        </w:rPr>
        <w:t>A Subpart B system supplier that serves 1,000,000 to 4,999,999 persons must monitor quarterly at 16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H)</w:t>
      </w:r>
      <w:r>
        <w:rPr>
          <w:szCs w:val="18"/>
        </w:rPr>
        <w:tab/>
      </w:r>
      <w:r w:rsidRPr="00100B57">
        <w:rPr>
          <w:szCs w:val="18"/>
        </w:rPr>
        <w:t>A Subpart B system supplier that serves 5,000,000 or more persons must monitor quarterly at 20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I)</w:t>
      </w:r>
      <w:r>
        <w:rPr>
          <w:szCs w:val="18"/>
        </w:rPr>
        <w:tab/>
      </w:r>
      <w:r w:rsidRPr="00100B57">
        <w:rPr>
          <w:szCs w:val="18"/>
        </w:rPr>
        <w:t>A groundwater system supplier that serves fewer than 500 persons must monitor annually at two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J)</w:t>
      </w:r>
      <w:r>
        <w:rPr>
          <w:szCs w:val="18"/>
        </w:rPr>
        <w:tab/>
      </w:r>
      <w:r w:rsidRPr="00100B57">
        <w:rPr>
          <w:szCs w:val="18"/>
        </w:rPr>
        <w:t>A groundwater system supplier that serves 500 to 9,999 persons must monitor annually at two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K)</w:t>
      </w:r>
      <w:r>
        <w:rPr>
          <w:szCs w:val="18"/>
        </w:rPr>
        <w:tab/>
      </w:r>
      <w:r w:rsidRPr="00100B57">
        <w:rPr>
          <w:szCs w:val="18"/>
        </w:rPr>
        <w:t>A groundwater system supplier that serves 10,000 to 99,999 persons must monitor quarterly at four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L)</w:t>
      </w:r>
      <w:r>
        <w:rPr>
          <w:szCs w:val="18"/>
        </w:rPr>
        <w:tab/>
      </w:r>
      <w:r w:rsidRPr="00100B57">
        <w:rPr>
          <w:szCs w:val="18"/>
        </w:rPr>
        <w:t>A groundwater system supplier that serves 100,000 to 499,999 persons must monitor quarterly at six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M)</w:t>
      </w:r>
      <w:r>
        <w:rPr>
          <w:szCs w:val="18"/>
        </w:rPr>
        <w:tab/>
      </w:r>
      <w:r w:rsidRPr="00100B57">
        <w:rPr>
          <w:szCs w:val="18"/>
        </w:rPr>
        <w:t>A groundwater system supplier that serves 500,000 or more persons must monitor quarterly at eight distribution system monitoring locations during each monitoring period.</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N)</w:t>
      </w:r>
      <w:r>
        <w:rPr>
          <w:szCs w:val="18"/>
        </w:rPr>
        <w:tab/>
      </w:r>
      <w:r w:rsidRPr="00100B57">
        <w:t>The supplier must monitor during month of highest DBP concentrations.</w:t>
      </w:r>
    </w:p>
    <w:p w:rsidR="00100B57" w:rsidRPr="00100B57" w:rsidRDefault="00100B57" w:rsidP="00100B57">
      <w:pPr>
        <w:rPr>
          <w:szCs w:val="18"/>
        </w:rPr>
      </w:pPr>
    </w:p>
    <w:p w:rsidR="00100B57" w:rsidRPr="00100B57" w:rsidRDefault="00100B57" w:rsidP="00100B57">
      <w:pPr>
        <w:ind w:left="2880" w:hanging="720"/>
        <w:rPr>
          <w:szCs w:val="18"/>
        </w:rPr>
      </w:pPr>
      <w:r w:rsidRPr="00100B57">
        <w:rPr>
          <w:szCs w:val="18"/>
        </w:rPr>
        <w:t>O)</w:t>
      </w:r>
      <w:r>
        <w:rPr>
          <w:szCs w:val="18"/>
        </w:rPr>
        <w:tab/>
      </w:r>
      <w:r w:rsidRPr="00100B57">
        <w:t xml:space="preserve">A supplier on quarterly monitoring must take dual sample sets every 90 days at each monitoring location, except for a Subpart B system supplier that serves 500 to 3,300.  </w:t>
      </w:r>
      <w:r w:rsidR="00C200AA" w:rsidRPr="001E5F34">
        <w:t xml:space="preserve">A groundwater system supplier that serves 500 to 9,999 persons which is on annual monitoring must take dual sample sets at each monitoring location.  </w:t>
      </w:r>
      <w:r w:rsidR="00C200AA">
        <w:t>Any other</w:t>
      </w:r>
      <w:r w:rsidRPr="00100B57">
        <w:t xml:space="preserve"> supplier </w:t>
      </w:r>
      <w:r w:rsidR="00C200AA">
        <w:t xml:space="preserve">that is </w:t>
      </w:r>
      <w:r w:rsidRPr="00100B57">
        <w:t xml:space="preserve">on annual monitoring or </w:t>
      </w:r>
      <w:r w:rsidR="00C200AA">
        <w:t xml:space="preserve">which is </w:t>
      </w:r>
      <w:r w:rsidRPr="00100B57">
        <w:t xml:space="preserve">a Subpart B system supplier that serves 500 to 3,300 is required to take individual TTHM and HAA5 samples (instead of a dual sample set) at the locations with the highest TTHM and HAA5 concentrations, respectively.  </w:t>
      </w:r>
      <w:r w:rsidR="00C200AA">
        <w:t>For a supplier that serves fewer than 500 people, only</w:t>
      </w:r>
      <w:r w:rsidRPr="00100B57">
        <w:t xml:space="preserve"> one location with a dual sample set per monitoring period is needed if the highest TTHM and HAA5 concentrations occur at the same location and month.</w:t>
      </w:r>
    </w:p>
    <w:p w:rsidR="00100B57" w:rsidRPr="00100B57" w:rsidRDefault="00100B57" w:rsidP="00100B57">
      <w:pPr>
        <w:rPr>
          <w:szCs w:val="18"/>
        </w:rPr>
      </w:pPr>
    </w:p>
    <w:p w:rsidR="00100B57" w:rsidRPr="00100B57" w:rsidRDefault="00100B57" w:rsidP="00100B57">
      <w:pPr>
        <w:ind w:left="2160" w:hanging="720"/>
        <w:rPr>
          <w:szCs w:val="18"/>
        </w:rPr>
      </w:pPr>
      <w:r w:rsidRPr="00100B57">
        <w:lastRenderedPageBreak/>
        <w:t>3)</w:t>
      </w:r>
      <w:r>
        <w:tab/>
      </w:r>
      <w:r w:rsidRPr="00100B57">
        <w:rPr>
          <w:szCs w:val="18"/>
        </w:rPr>
        <w:t xml:space="preserve">If a supplier is an undisinfected system that begins using a disinfectant other than UV light after the dates set forth in </w:t>
      </w:r>
      <w:r w:rsidRPr="00100B57">
        <w:t>Subpart W</w:t>
      </w:r>
      <w:r w:rsidRPr="00100B57">
        <w:rPr>
          <w:szCs w:val="18"/>
        </w:rPr>
        <w:t xml:space="preserve"> for complying with the IDSE requirements, the supplier must consult with the Agency to identify compliance monitoring locations for this Subpart Y.  The supplier must then develop a monitoring plan </w:t>
      </w:r>
      <w:r w:rsidR="006C3EC5">
        <w:rPr>
          <w:szCs w:val="18"/>
        </w:rPr>
        <w:t>under</w:t>
      </w:r>
      <w:r w:rsidRPr="00100B57">
        <w:rPr>
          <w:szCs w:val="18"/>
        </w:rPr>
        <w:t xml:space="preserve"> Section 611.972 that includes those monitoring locations.</w:t>
      </w:r>
    </w:p>
    <w:p w:rsidR="00100B57" w:rsidRPr="00100B57" w:rsidRDefault="00100B57" w:rsidP="00100B57">
      <w:pPr>
        <w:rPr>
          <w:szCs w:val="18"/>
        </w:rPr>
      </w:pPr>
    </w:p>
    <w:p w:rsidR="00100B57" w:rsidRPr="00100B57" w:rsidRDefault="00100B57" w:rsidP="00100B57">
      <w:pPr>
        <w:ind w:left="1440" w:hanging="720"/>
        <w:rPr>
          <w:szCs w:val="18"/>
        </w:rPr>
      </w:pPr>
      <w:r w:rsidRPr="00100B57">
        <w:rPr>
          <w:szCs w:val="18"/>
        </w:rPr>
        <w:t>b)</w:t>
      </w:r>
      <w:r>
        <w:rPr>
          <w:szCs w:val="18"/>
        </w:rPr>
        <w:tab/>
      </w:r>
      <w:r w:rsidRPr="00100B57">
        <w:rPr>
          <w:szCs w:val="18"/>
        </w:rPr>
        <w:t xml:space="preserve">Analytical </w:t>
      </w:r>
      <w:r w:rsidR="006F5305">
        <w:rPr>
          <w:szCs w:val="18"/>
        </w:rPr>
        <w:t>Methods</w:t>
      </w:r>
      <w:r w:rsidRPr="00100B57">
        <w:rPr>
          <w:szCs w:val="18"/>
        </w:rPr>
        <w:t>.  A supplier must use an approved method listed in Section 611.381 for TTHM and HAA5 analyses in this Subpart Y.  Analyses must be conducted by laboratories that have received certification as specified in Section 611.381.</w:t>
      </w:r>
    </w:p>
    <w:p w:rsidR="00100B57" w:rsidRPr="00100B57" w:rsidRDefault="00100B57" w:rsidP="00100B57">
      <w:pPr>
        <w:rPr>
          <w:szCs w:val="18"/>
        </w:rPr>
      </w:pPr>
    </w:p>
    <w:p w:rsidR="00100B57" w:rsidRPr="00100B57" w:rsidRDefault="00100B57" w:rsidP="00755394">
      <w:pPr>
        <w:ind w:firstLine="720"/>
      </w:pPr>
      <w:r w:rsidRPr="00100B57">
        <w:t xml:space="preserve">BOARD NOTE:  Derived from 40 </w:t>
      </w:r>
      <w:smartTag w:uri="urn:schemas-microsoft-com:office:smarttags" w:element="date">
        <w:r w:rsidRPr="00100B57">
          <w:t>CFR</w:t>
        </w:r>
      </w:smartTag>
      <w:r w:rsidRPr="00100B57">
        <w:t xml:space="preserve"> 141.621.</w:t>
      </w:r>
    </w:p>
    <w:p w:rsidR="00100B57" w:rsidRPr="00100B57" w:rsidRDefault="00100B57" w:rsidP="00100B57"/>
    <w:p w:rsidR="00785F68" w:rsidRDefault="00785F68" w:rsidP="00785F68">
      <w:pPr>
        <w:pStyle w:val="JCARSourceNote"/>
        <w:ind w:left="720"/>
      </w:pPr>
      <w:r>
        <w:t xml:space="preserve">(Source:  Amended at 44 Ill. Reg. </w:t>
      </w:r>
      <w:r w:rsidR="00D37FCA">
        <w:t>6996</w:t>
      </w:r>
      <w:r>
        <w:t xml:space="preserve">, effective </w:t>
      </w:r>
      <w:bookmarkStart w:id="0" w:name="_GoBack"/>
      <w:r w:rsidR="00D37FCA">
        <w:t>April 17, 2020</w:t>
      </w:r>
      <w:bookmarkEnd w:id="0"/>
      <w:r>
        <w:t>)</w:t>
      </w:r>
    </w:p>
    <w:sectPr w:rsidR="00785F6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102" w:rsidRDefault="004D3102">
      <w:r>
        <w:separator/>
      </w:r>
    </w:p>
  </w:endnote>
  <w:endnote w:type="continuationSeparator" w:id="0">
    <w:p w:rsidR="004D3102" w:rsidRDefault="004D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102" w:rsidRDefault="004D3102">
      <w:r>
        <w:separator/>
      </w:r>
    </w:p>
  </w:footnote>
  <w:footnote w:type="continuationSeparator" w:id="0">
    <w:p w:rsidR="004D3102" w:rsidRDefault="004D3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1881"/>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0F93"/>
    <w:rsid w:val="000E6BBD"/>
    <w:rsid w:val="000E6FF6"/>
    <w:rsid w:val="000E7A0A"/>
    <w:rsid w:val="000E7B41"/>
    <w:rsid w:val="000F25A1"/>
    <w:rsid w:val="00100B57"/>
    <w:rsid w:val="00103C24"/>
    <w:rsid w:val="00110A0B"/>
    <w:rsid w:val="00114190"/>
    <w:rsid w:val="0012221A"/>
    <w:rsid w:val="00131D0D"/>
    <w:rsid w:val="001328A0"/>
    <w:rsid w:val="0014104E"/>
    <w:rsid w:val="00145C78"/>
    <w:rsid w:val="00146F30"/>
    <w:rsid w:val="0015097E"/>
    <w:rsid w:val="00153DEA"/>
    <w:rsid w:val="00154F65"/>
    <w:rsid w:val="00155217"/>
    <w:rsid w:val="00155905"/>
    <w:rsid w:val="00163EEE"/>
    <w:rsid w:val="00164756"/>
    <w:rsid w:val="00165CF9"/>
    <w:rsid w:val="001830D0"/>
    <w:rsid w:val="001930A3"/>
    <w:rsid w:val="00193ABB"/>
    <w:rsid w:val="0019502A"/>
    <w:rsid w:val="001A6EDB"/>
    <w:rsid w:val="001A7CA1"/>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02E9"/>
    <w:rsid w:val="002D3C4D"/>
    <w:rsid w:val="002D3FBA"/>
    <w:rsid w:val="002D7620"/>
    <w:rsid w:val="002F5988"/>
    <w:rsid w:val="00303BA7"/>
    <w:rsid w:val="00305AAE"/>
    <w:rsid w:val="00310F8C"/>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444A"/>
    <w:rsid w:val="00385640"/>
    <w:rsid w:val="0039357E"/>
    <w:rsid w:val="00393652"/>
    <w:rsid w:val="00394002"/>
    <w:rsid w:val="0039695D"/>
    <w:rsid w:val="003A4E0A"/>
    <w:rsid w:val="003B419A"/>
    <w:rsid w:val="003B5138"/>
    <w:rsid w:val="003D0D44"/>
    <w:rsid w:val="003D12E4"/>
    <w:rsid w:val="003D2F08"/>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1B29"/>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3102"/>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1386"/>
    <w:rsid w:val="00552D2A"/>
    <w:rsid w:val="0056157E"/>
    <w:rsid w:val="0056501E"/>
    <w:rsid w:val="00571719"/>
    <w:rsid w:val="00571A8B"/>
    <w:rsid w:val="00573770"/>
    <w:rsid w:val="00576975"/>
    <w:rsid w:val="005777E6"/>
    <w:rsid w:val="00586A81"/>
    <w:rsid w:val="005901D4"/>
    <w:rsid w:val="005948A7"/>
    <w:rsid w:val="005A2494"/>
    <w:rsid w:val="005A73F7"/>
    <w:rsid w:val="005D20AF"/>
    <w:rsid w:val="005D35F3"/>
    <w:rsid w:val="005E03A7"/>
    <w:rsid w:val="005E3D55"/>
    <w:rsid w:val="005F2891"/>
    <w:rsid w:val="006132CE"/>
    <w:rsid w:val="00620BBA"/>
    <w:rsid w:val="006247D4"/>
    <w:rsid w:val="00631875"/>
    <w:rsid w:val="00634D17"/>
    <w:rsid w:val="00635BC8"/>
    <w:rsid w:val="00641AEA"/>
    <w:rsid w:val="0064660E"/>
    <w:rsid w:val="00651FF5"/>
    <w:rsid w:val="0065202D"/>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3EC5"/>
    <w:rsid w:val="006C45D5"/>
    <w:rsid w:val="006C5CF4"/>
    <w:rsid w:val="006E1AE0"/>
    <w:rsid w:val="006E1F95"/>
    <w:rsid w:val="006F5305"/>
    <w:rsid w:val="006F7BF8"/>
    <w:rsid w:val="00700FB4"/>
    <w:rsid w:val="00702A38"/>
    <w:rsid w:val="0070602C"/>
    <w:rsid w:val="00717DBE"/>
    <w:rsid w:val="00720025"/>
    <w:rsid w:val="00727763"/>
    <w:rsid w:val="007278C5"/>
    <w:rsid w:val="00737469"/>
    <w:rsid w:val="00750400"/>
    <w:rsid w:val="00753596"/>
    <w:rsid w:val="00755394"/>
    <w:rsid w:val="00763B6D"/>
    <w:rsid w:val="00776183"/>
    <w:rsid w:val="00776B13"/>
    <w:rsid w:val="00776D1C"/>
    <w:rsid w:val="00777A7A"/>
    <w:rsid w:val="00780733"/>
    <w:rsid w:val="00780B43"/>
    <w:rsid w:val="00785F68"/>
    <w:rsid w:val="00790388"/>
    <w:rsid w:val="00794C7C"/>
    <w:rsid w:val="00796D0E"/>
    <w:rsid w:val="007A1867"/>
    <w:rsid w:val="007A7D79"/>
    <w:rsid w:val="007B4EB3"/>
    <w:rsid w:val="007C4EE5"/>
    <w:rsid w:val="007E5206"/>
    <w:rsid w:val="007F1A7F"/>
    <w:rsid w:val="007F28A2"/>
    <w:rsid w:val="007F3365"/>
    <w:rsid w:val="00804082"/>
    <w:rsid w:val="00805D72"/>
    <w:rsid w:val="00806780"/>
    <w:rsid w:val="00810296"/>
    <w:rsid w:val="008219F7"/>
    <w:rsid w:val="0082307C"/>
    <w:rsid w:val="00824C15"/>
    <w:rsid w:val="00826E97"/>
    <w:rsid w:val="008271B1"/>
    <w:rsid w:val="00833A9E"/>
    <w:rsid w:val="00837F88"/>
    <w:rsid w:val="008425C1"/>
    <w:rsid w:val="00843EB6"/>
    <w:rsid w:val="00844ABA"/>
    <w:rsid w:val="00845705"/>
    <w:rsid w:val="0084781C"/>
    <w:rsid w:val="0086679B"/>
    <w:rsid w:val="00870EF2"/>
    <w:rsid w:val="008717C5"/>
    <w:rsid w:val="0088338B"/>
    <w:rsid w:val="0088496F"/>
    <w:rsid w:val="008923A8"/>
    <w:rsid w:val="00893C08"/>
    <w:rsid w:val="008B56EA"/>
    <w:rsid w:val="008B77D8"/>
    <w:rsid w:val="008C1560"/>
    <w:rsid w:val="008C4FAF"/>
    <w:rsid w:val="008C5359"/>
    <w:rsid w:val="008D7182"/>
    <w:rsid w:val="008E68BC"/>
    <w:rsid w:val="008F2BEE"/>
    <w:rsid w:val="008F5C7D"/>
    <w:rsid w:val="009053C8"/>
    <w:rsid w:val="00910413"/>
    <w:rsid w:val="00915C6D"/>
    <w:rsid w:val="009168BC"/>
    <w:rsid w:val="00921F8B"/>
    <w:rsid w:val="00934057"/>
    <w:rsid w:val="00935A8C"/>
    <w:rsid w:val="00944E3D"/>
    <w:rsid w:val="00950386"/>
    <w:rsid w:val="00960C37"/>
    <w:rsid w:val="00961E38"/>
    <w:rsid w:val="00965A76"/>
    <w:rsid w:val="00966D51"/>
    <w:rsid w:val="00973AAC"/>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65635"/>
    <w:rsid w:val="00A72534"/>
    <w:rsid w:val="00A809C5"/>
    <w:rsid w:val="00A8648B"/>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D2C"/>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0167"/>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4008"/>
    <w:rsid w:val="00BF5AAE"/>
    <w:rsid w:val="00BF5AE7"/>
    <w:rsid w:val="00BF78FB"/>
    <w:rsid w:val="00C05E6D"/>
    <w:rsid w:val="00C1038A"/>
    <w:rsid w:val="00C1085F"/>
    <w:rsid w:val="00C153C4"/>
    <w:rsid w:val="00C15FD6"/>
    <w:rsid w:val="00C17F24"/>
    <w:rsid w:val="00C200AA"/>
    <w:rsid w:val="00C2596B"/>
    <w:rsid w:val="00C319B3"/>
    <w:rsid w:val="00C42A93"/>
    <w:rsid w:val="00C4537A"/>
    <w:rsid w:val="00C50195"/>
    <w:rsid w:val="00C60D0B"/>
    <w:rsid w:val="00C64214"/>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144C8"/>
    <w:rsid w:val="00D2155A"/>
    <w:rsid w:val="00D24E0F"/>
    <w:rsid w:val="00D27015"/>
    <w:rsid w:val="00D2776C"/>
    <w:rsid w:val="00D27E4E"/>
    <w:rsid w:val="00D32AA7"/>
    <w:rsid w:val="00D33832"/>
    <w:rsid w:val="00D37FCA"/>
    <w:rsid w:val="00D46468"/>
    <w:rsid w:val="00D53937"/>
    <w:rsid w:val="00D55B37"/>
    <w:rsid w:val="00D5634E"/>
    <w:rsid w:val="00D64B08"/>
    <w:rsid w:val="00D70D8F"/>
    <w:rsid w:val="00D73D07"/>
    <w:rsid w:val="00D76B84"/>
    <w:rsid w:val="00D77DCF"/>
    <w:rsid w:val="00D876AB"/>
    <w:rsid w:val="00D93C67"/>
    <w:rsid w:val="00D94587"/>
    <w:rsid w:val="00D97042"/>
    <w:rsid w:val="00D97549"/>
    <w:rsid w:val="00DB2CC7"/>
    <w:rsid w:val="00DB77F4"/>
    <w:rsid w:val="00DB78E4"/>
    <w:rsid w:val="00DC016D"/>
    <w:rsid w:val="00DC5FDC"/>
    <w:rsid w:val="00DD3C9D"/>
    <w:rsid w:val="00DE3439"/>
    <w:rsid w:val="00DF0813"/>
    <w:rsid w:val="00DF25BD"/>
    <w:rsid w:val="00E03042"/>
    <w:rsid w:val="00E11728"/>
    <w:rsid w:val="00E24167"/>
    <w:rsid w:val="00E24878"/>
    <w:rsid w:val="00E342B4"/>
    <w:rsid w:val="00E34B29"/>
    <w:rsid w:val="00E406C7"/>
    <w:rsid w:val="00E40FDC"/>
    <w:rsid w:val="00E41211"/>
    <w:rsid w:val="00E4457E"/>
    <w:rsid w:val="00E47B6D"/>
    <w:rsid w:val="00E7024C"/>
    <w:rsid w:val="00E71881"/>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B96"/>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2B94"/>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58EB2F41-562D-4B65-B25C-13BD6351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100B5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100B5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9597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