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0AD1" w14:textId="77777777" w:rsidR="00670516" w:rsidRDefault="00670516" w:rsidP="00D62C3A">
      <w:pPr>
        <w:widowControl w:val="0"/>
        <w:autoSpaceDE w:val="0"/>
        <w:autoSpaceDN w:val="0"/>
        <w:adjustRightInd w:val="0"/>
        <w:rPr>
          <w:b/>
          <w:bCs/>
        </w:rPr>
      </w:pPr>
    </w:p>
    <w:p w14:paraId="5557C85E" w14:textId="5D787EC2" w:rsidR="00D62C3A" w:rsidRDefault="00D62C3A" w:rsidP="00D62C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611.300  </w:t>
      </w:r>
      <w:r w:rsidR="00E02752">
        <w:rPr>
          <w:b/>
          <w:bCs/>
        </w:rPr>
        <w:t>State-Only</w:t>
      </w:r>
      <w:r>
        <w:rPr>
          <w:b/>
          <w:bCs/>
        </w:rPr>
        <w:t xml:space="preserve"> MCLs for Inorganic </w:t>
      </w:r>
      <w:r w:rsidR="00670516">
        <w:rPr>
          <w:b/>
          <w:bCs/>
        </w:rPr>
        <w:t xml:space="preserve">Chemical Contaminants </w:t>
      </w:r>
    </w:p>
    <w:p w14:paraId="23AEB330" w14:textId="77777777" w:rsidR="00D62C3A" w:rsidRDefault="00D62C3A" w:rsidP="00D62C3A">
      <w:pPr>
        <w:widowControl w:val="0"/>
        <w:autoSpaceDE w:val="0"/>
        <w:autoSpaceDN w:val="0"/>
        <w:adjustRightInd w:val="0"/>
      </w:pPr>
    </w:p>
    <w:p w14:paraId="001D07A4" w14:textId="1AA61043" w:rsidR="00D62C3A" w:rsidRDefault="00D62C3A" w:rsidP="00D62C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1A0E9E" w:rsidRPr="001A0E9E">
        <w:t>State-only</w:t>
      </w:r>
      <w:r>
        <w:t xml:space="preserve"> MCLs listed in subsection (b) for inorganic </w:t>
      </w:r>
      <w:r w:rsidR="00670516">
        <w:t xml:space="preserve">chemical contaminants (IOCs) </w:t>
      </w:r>
      <w:r w:rsidR="00833862">
        <w:t xml:space="preserve">are additional State </w:t>
      </w:r>
      <w:r w:rsidR="00206A28">
        <w:t>r</w:t>
      </w:r>
      <w:r w:rsidR="00833862">
        <w:t xml:space="preserve">equirements.  The </w:t>
      </w:r>
      <w:r w:rsidR="001A0E9E" w:rsidRPr="001A0E9E">
        <w:t>State-only</w:t>
      </w:r>
      <w:r w:rsidR="00833862">
        <w:t xml:space="preserve"> MCLs </w:t>
      </w:r>
      <w:r>
        <w:t xml:space="preserve">apply only to CWS suppliers.  </w:t>
      </w:r>
      <w:r w:rsidR="001A0E9E" w:rsidRPr="001A0E9E">
        <w:t>The supplier must determine compliance</w:t>
      </w:r>
      <w:r>
        <w:t xml:space="preserve"> with </w:t>
      </w:r>
      <w:r w:rsidR="001A0E9E" w:rsidRPr="001A0E9E">
        <w:t>the State-only</w:t>
      </w:r>
      <w:r>
        <w:t xml:space="preserve"> MCLs for inorganic chemicals </w:t>
      </w:r>
      <w:r w:rsidR="00A73057">
        <w:t>under</w:t>
      </w:r>
      <w:r>
        <w:t xml:space="preserve"> Section 611.612. </w:t>
      </w:r>
    </w:p>
    <w:p w14:paraId="1D36A0A8" w14:textId="77777777" w:rsidR="009906F6" w:rsidRDefault="009906F6" w:rsidP="001A0E9E">
      <w:pPr>
        <w:widowControl w:val="0"/>
        <w:autoSpaceDE w:val="0"/>
        <w:autoSpaceDN w:val="0"/>
        <w:adjustRightInd w:val="0"/>
        <w:ind w:left="1440"/>
      </w:pPr>
    </w:p>
    <w:p w14:paraId="53BE1C4E" w14:textId="329CECBC" w:rsidR="00D62C3A" w:rsidRDefault="00D62C3A" w:rsidP="00D62C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A0E9E" w:rsidRPr="001A0E9E">
        <w:t>State-only</w:t>
      </w:r>
      <w:r>
        <w:t xml:space="preserve"> MCLs for</w:t>
      </w:r>
      <w:r w:rsidR="00670516">
        <w:t xml:space="preserve"> IOCs</w:t>
      </w:r>
    </w:p>
    <w:p w14:paraId="3F50BCEB" w14:textId="77777777" w:rsidR="00D62C3A" w:rsidRDefault="00D62C3A" w:rsidP="00D62C3A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17" w:type="dxa"/>
        <w:tblLook w:val="0000" w:firstRow="0" w:lastRow="0" w:firstColumn="0" w:lastColumn="0" w:noHBand="0" w:noVBand="0"/>
      </w:tblPr>
      <w:tblGrid>
        <w:gridCol w:w="1851"/>
        <w:gridCol w:w="2160"/>
      </w:tblGrid>
      <w:tr w:rsidR="00475230" w14:paraId="3330DBA6" w14:textId="77777777" w:rsidTr="00475230">
        <w:trPr>
          <w:trHeight w:val="378"/>
        </w:trPr>
        <w:tc>
          <w:tcPr>
            <w:tcW w:w="1851" w:type="dxa"/>
          </w:tcPr>
          <w:p w14:paraId="176C6262" w14:textId="77777777" w:rsidR="00475230" w:rsidRDefault="00475230" w:rsidP="00FE5503">
            <w:pPr>
              <w:widowControl w:val="0"/>
              <w:autoSpaceDE w:val="0"/>
              <w:autoSpaceDN w:val="0"/>
              <w:adjustRightInd w:val="0"/>
            </w:pPr>
            <w:r>
              <w:t>Contaminant</w:t>
            </w:r>
          </w:p>
        </w:tc>
        <w:tc>
          <w:tcPr>
            <w:tcW w:w="2160" w:type="dxa"/>
          </w:tcPr>
          <w:p w14:paraId="3407095E" w14:textId="4932A776" w:rsidR="00475230" w:rsidRDefault="00475230" w:rsidP="00FE55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Level, mg/L</w:t>
            </w:r>
          </w:p>
        </w:tc>
      </w:tr>
      <w:tr w:rsidR="00475230" w14:paraId="32D3F867" w14:textId="77777777" w:rsidTr="00475230">
        <w:tc>
          <w:tcPr>
            <w:tcW w:w="1851" w:type="dxa"/>
          </w:tcPr>
          <w:p w14:paraId="74672E3E" w14:textId="77777777" w:rsidR="00475230" w:rsidRDefault="00475230" w:rsidP="00FE5503">
            <w:pPr>
              <w:widowControl w:val="0"/>
              <w:autoSpaceDE w:val="0"/>
              <w:autoSpaceDN w:val="0"/>
              <w:adjustRightInd w:val="0"/>
            </w:pPr>
            <w:r>
              <w:t>Iron</w:t>
            </w:r>
          </w:p>
        </w:tc>
        <w:tc>
          <w:tcPr>
            <w:tcW w:w="2160" w:type="dxa"/>
          </w:tcPr>
          <w:p w14:paraId="3565F08B" w14:textId="77777777" w:rsidR="00475230" w:rsidRDefault="00475230" w:rsidP="00FE5503">
            <w:pPr>
              <w:widowControl w:val="0"/>
              <w:tabs>
                <w:tab w:val="decimal" w:pos="633"/>
              </w:tabs>
              <w:autoSpaceDE w:val="0"/>
              <w:autoSpaceDN w:val="0"/>
              <w:adjustRightInd w:val="0"/>
            </w:pPr>
            <w:r>
              <w:t>1.0</w:t>
            </w:r>
          </w:p>
        </w:tc>
      </w:tr>
      <w:tr w:rsidR="00475230" w14:paraId="4AE65BF4" w14:textId="77777777" w:rsidTr="00475230">
        <w:tc>
          <w:tcPr>
            <w:tcW w:w="1851" w:type="dxa"/>
          </w:tcPr>
          <w:p w14:paraId="08ED4D54" w14:textId="77777777" w:rsidR="00475230" w:rsidRDefault="00475230" w:rsidP="00FE5503">
            <w:pPr>
              <w:widowControl w:val="0"/>
              <w:autoSpaceDE w:val="0"/>
              <w:autoSpaceDN w:val="0"/>
              <w:adjustRightInd w:val="0"/>
            </w:pPr>
            <w:r>
              <w:t>Manganese</w:t>
            </w:r>
          </w:p>
        </w:tc>
        <w:tc>
          <w:tcPr>
            <w:tcW w:w="2160" w:type="dxa"/>
          </w:tcPr>
          <w:p w14:paraId="12BC550D" w14:textId="77777777" w:rsidR="00475230" w:rsidRDefault="00475230" w:rsidP="00FE5503">
            <w:pPr>
              <w:widowControl w:val="0"/>
              <w:tabs>
                <w:tab w:val="decimal" w:pos="633"/>
              </w:tabs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475230" w14:paraId="0B22EF48" w14:textId="77777777" w:rsidTr="00475230">
        <w:tc>
          <w:tcPr>
            <w:tcW w:w="1851" w:type="dxa"/>
          </w:tcPr>
          <w:p w14:paraId="02627B6F" w14:textId="77777777" w:rsidR="00475230" w:rsidRDefault="00475230" w:rsidP="00FE5503">
            <w:pPr>
              <w:widowControl w:val="0"/>
              <w:autoSpaceDE w:val="0"/>
              <w:autoSpaceDN w:val="0"/>
              <w:adjustRightInd w:val="0"/>
            </w:pPr>
            <w:r>
              <w:t>Zinc</w:t>
            </w:r>
          </w:p>
        </w:tc>
        <w:tc>
          <w:tcPr>
            <w:tcW w:w="2160" w:type="dxa"/>
          </w:tcPr>
          <w:p w14:paraId="1725F1FF" w14:textId="77777777" w:rsidR="00475230" w:rsidRDefault="00475230" w:rsidP="00FE5503">
            <w:pPr>
              <w:widowControl w:val="0"/>
              <w:tabs>
                <w:tab w:val="decimal" w:pos="633"/>
              </w:tabs>
              <w:autoSpaceDE w:val="0"/>
              <w:autoSpaceDN w:val="0"/>
              <w:adjustRightInd w:val="0"/>
            </w:pPr>
            <w:r>
              <w:t>5.</w:t>
            </w:r>
          </w:p>
        </w:tc>
      </w:tr>
    </w:tbl>
    <w:p w14:paraId="56425101" w14:textId="77777777" w:rsidR="00FE5503" w:rsidRDefault="00FE5503" w:rsidP="00D62C3A">
      <w:pPr>
        <w:widowControl w:val="0"/>
        <w:autoSpaceDE w:val="0"/>
        <w:autoSpaceDN w:val="0"/>
        <w:adjustRightInd w:val="0"/>
      </w:pPr>
    </w:p>
    <w:p w14:paraId="727AEFC6" w14:textId="77777777" w:rsidR="00D62C3A" w:rsidRDefault="00D62C3A" w:rsidP="00D62C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subsection corresponds with 40 CFR 141.11(c), marked as reserved by USEPA.  This statement maintains structural parity with the federal rules. </w:t>
      </w:r>
    </w:p>
    <w:p w14:paraId="714D85DF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4615C175" w14:textId="77777777" w:rsidR="00D62C3A" w:rsidRDefault="00D62C3A" w:rsidP="00D62C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Nitrate </w:t>
      </w:r>
    </w:p>
    <w:p w14:paraId="4BAB92AD" w14:textId="3DFCD88B" w:rsidR="00D62C3A" w:rsidRDefault="001A0E9E" w:rsidP="001D7593">
      <w:pPr>
        <w:widowControl w:val="0"/>
        <w:autoSpaceDE w:val="0"/>
        <w:autoSpaceDN w:val="0"/>
        <w:adjustRightInd w:val="0"/>
        <w:ind w:left="1440"/>
      </w:pPr>
      <w:r w:rsidRPr="001A0E9E">
        <w:t>A non-CWS</w:t>
      </w:r>
      <w:r w:rsidR="00D62C3A">
        <w:t xml:space="preserve"> may exceed the MCL for nitrate under </w:t>
      </w:r>
      <w:r>
        <w:t>certain</w:t>
      </w:r>
      <w:r w:rsidR="00D62C3A">
        <w:t xml:space="preserve"> circumstances: </w:t>
      </w:r>
    </w:p>
    <w:p w14:paraId="1026C347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3A1E38C2" w14:textId="280C249D" w:rsidR="00D62C3A" w:rsidRDefault="00D62C3A" w:rsidP="00D62C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nitrate level must not exceed 20 mg/</w:t>
      </w:r>
      <w:r w:rsidR="00475230">
        <w:t>L</w:t>
      </w:r>
      <w:r w:rsidR="0023154C">
        <w:t>;</w:t>
      </w:r>
      <w:r>
        <w:t xml:space="preserve"> </w:t>
      </w:r>
    </w:p>
    <w:p w14:paraId="34744CA2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6CACBABD" w14:textId="74E565E3" w:rsidR="00D62C3A" w:rsidRDefault="00D62C3A" w:rsidP="00D62C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water must not be available </w:t>
      </w:r>
      <w:r w:rsidR="00860861" w:rsidRPr="00860861">
        <w:t>for consumption by</w:t>
      </w:r>
      <w:r>
        <w:t xml:space="preserve"> children under six months of age</w:t>
      </w:r>
      <w:r w:rsidR="0023154C">
        <w:t>;</w:t>
      </w:r>
      <w:r>
        <w:t xml:space="preserve"> </w:t>
      </w:r>
    </w:p>
    <w:p w14:paraId="3984E756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3AAB9FB1" w14:textId="5E97C33D" w:rsidR="00D62C3A" w:rsidRDefault="00D62C3A" w:rsidP="00D62C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NCWS supplier </w:t>
      </w:r>
      <w:r w:rsidR="00860861" w:rsidRPr="00860861">
        <w:t>complies with</w:t>
      </w:r>
      <w:r>
        <w:t xml:space="preserve"> the public notification requirements under Section 611.909, including continuous posting that the nitrate level exceeds 10 mg/</w:t>
      </w:r>
      <w:r w:rsidR="00475230">
        <w:t>L</w:t>
      </w:r>
      <w:r>
        <w:t xml:space="preserve"> with the potential health effects of exposure</w:t>
      </w:r>
      <w:r w:rsidR="0023154C">
        <w:t>;</w:t>
      </w:r>
      <w:r>
        <w:t xml:space="preserve"> </w:t>
      </w:r>
    </w:p>
    <w:p w14:paraId="651A0DC9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338FB29C" w14:textId="2876B464" w:rsidR="00D62C3A" w:rsidRDefault="00D62C3A" w:rsidP="00D62C3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supplier annually </w:t>
      </w:r>
      <w:r w:rsidR="00860861">
        <w:t>notifies</w:t>
      </w:r>
      <w:r>
        <w:t xml:space="preserve"> local public health authorities and the Department of Public Health of nitrate levels </w:t>
      </w:r>
      <w:r w:rsidR="00860861" w:rsidRPr="00860861">
        <w:t>exceeding</w:t>
      </w:r>
      <w:r>
        <w:t xml:space="preserve"> 10 mg/</w:t>
      </w:r>
      <w:r w:rsidR="00475230">
        <w:t>L</w:t>
      </w:r>
      <w:r w:rsidR="00206A28">
        <w:t>;</w:t>
      </w:r>
      <w:r>
        <w:t xml:space="preserve"> and </w:t>
      </w:r>
    </w:p>
    <w:p w14:paraId="2AC3D54D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35DAC184" w14:textId="77777777" w:rsidR="00D62C3A" w:rsidRDefault="00D62C3A" w:rsidP="00D62C3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No adverse public health effects result. </w:t>
      </w:r>
    </w:p>
    <w:p w14:paraId="243EB6ED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14FC7100" w14:textId="4A395339" w:rsidR="00D62C3A" w:rsidRDefault="00D62C3A" w:rsidP="00B46DCE">
      <w:pPr>
        <w:widowControl w:val="0"/>
        <w:autoSpaceDE w:val="0"/>
        <w:autoSpaceDN w:val="0"/>
        <w:adjustRightInd w:val="0"/>
        <w:ind w:left="1440"/>
      </w:pPr>
      <w:r>
        <w:t xml:space="preserve">BOARD NOTE:  </w:t>
      </w:r>
      <w:r w:rsidR="00860861" w:rsidRPr="00860861">
        <w:rPr>
          <w:spacing w:val="-3"/>
        </w:rPr>
        <w:t>This subsection (d) derives</w:t>
      </w:r>
      <w:r>
        <w:t xml:space="preserve"> from 40 CFR 141.11(d).  The Department of Public Health regulations may impose a nitrate limitation requirement at 77 Ill. Adm. Code 900.50. </w:t>
      </w:r>
    </w:p>
    <w:p w14:paraId="3387CABE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7B79A845" w14:textId="269AB96D" w:rsidR="00D62C3A" w:rsidRDefault="00D62C3A" w:rsidP="00D62C3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860861" w:rsidRPr="00860861">
        <w:t>Supplementary conditions apply</w:t>
      </w:r>
      <w:r>
        <w:t xml:space="preserve"> to the MCLs for iron and manganese</w:t>
      </w:r>
      <w:r w:rsidR="00860861" w:rsidRPr="00860861">
        <w:t xml:space="preserve"> in subsection (b)</w:t>
      </w:r>
      <w:r>
        <w:t xml:space="preserve">: </w:t>
      </w:r>
    </w:p>
    <w:p w14:paraId="053969B0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069839EA" w14:textId="131E8C85" w:rsidR="00D62C3A" w:rsidRDefault="00D62C3A" w:rsidP="00D62C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60861" w:rsidRPr="00860861">
        <w:t>A CWS supplier serving</w:t>
      </w:r>
      <w:r>
        <w:t xml:space="preserve"> a population of </w:t>
      </w:r>
      <w:r w:rsidR="00860861">
        <w:t>1,000</w:t>
      </w:r>
      <w:r>
        <w:t xml:space="preserve"> or fewer or 300 service connections or fewer are exempt from the standards for iron and manganese. </w:t>
      </w:r>
    </w:p>
    <w:p w14:paraId="18F28999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2B955FEA" w14:textId="291E055E" w:rsidR="00D62C3A" w:rsidRDefault="00D62C3A" w:rsidP="00D62C3A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>The Agency may</w:t>
      </w:r>
      <w:r w:rsidR="00CF1E3D">
        <w:t xml:space="preserve"> </w:t>
      </w:r>
      <w:r w:rsidR="00860861">
        <w:t>issue</w:t>
      </w:r>
      <w:r w:rsidR="00670516">
        <w:t xml:space="preserve"> a SEP</w:t>
      </w:r>
      <w:r>
        <w:t xml:space="preserve"> </w:t>
      </w:r>
      <w:r w:rsidR="00860861">
        <w:t>allowing</w:t>
      </w:r>
      <w:r>
        <w:t xml:space="preserve"> iron and manganese in excess of the MCL if sequestration proves effective</w:t>
      </w:r>
      <w:r w:rsidR="00CF1E3D">
        <w:t xml:space="preserve"> o</w:t>
      </w:r>
      <w:r w:rsidR="00860861">
        <w:t>n an experimental basis</w:t>
      </w:r>
      <w:r>
        <w:t>.</w:t>
      </w:r>
      <w:r w:rsidR="00860861">
        <w:t xml:space="preserve"> </w:t>
      </w:r>
      <w:r>
        <w:t xml:space="preserve"> If sequestration is not effective, </w:t>
      </w:r>
      <w:r w:rsidR="00CF1E3D">
        <w:t xml:space="preserve">the supplier must provide </w:t>
      </w:r>
      <w:r>
        <w:t>positive iron or manganese reduction treatment</w:t>
      </w:r>
      <w:r w:rsidR="00CF1E3D">
        <w:t>,</w:t>
      </w:r>
      <w:r>
        <w:t xml:space="preserve"> as applicable.  </w:t>
      </w:r>
      <w:r w:rsidR="00CF1E3D" w:rsidRPr="00CF1E3D">
        <w:t>A supplier may try experimental use</w:t>
      </w:r>
      <w:r>
        <w:t xml:space="preserve"> a sequestering agent only if </w:t>
      </w:r>
      <w:r w:rsidR="00CF1E3D">
        <w:t>the Agency approves in</w:t>
      </w:r>
      <w:r w:rsidR="00670516">
        <w:t xml:space="preserve"> a SEP</w:t>
      </w:r>
      <w:r>
        <w:t xml:space="preserve">. </w:t>
      </w:r>
    </w:p>
    <w:p w14:paraId="1C8D69BA" w14:textId="77777777" w:rsidR="009906F6" w:rsidRDefault="009906F6" w:rsidP="001D7593">
      <w:pPr>
        <w:widowControl w:val="0"/>
        <w:autoSpaceDE w:val="0"/>
        <w:autoSpaceDN w:val="0"/>
        <w:adjustRightInd w:val="0"/>
      </w:pPr>
    </w:p>
    <w:p w14:paraId="781DD69D" w14:textId="77777777" w:rsidR="00D62C3A" w:rsidRDefault="00D62C3A" w:rsidP="00B46DCE">
      <w:pPr>
        <w:widowControl w:val="0"/>
        <w:autoSpaceDE w:val="0"/>
        <w:autoSpaceDN w:val="0"/>
        <w:adjustRightInd w:val="0"/>
        <w:ind w:left="1440"/>
      </w:pPr>
      <w:r>
        <w:t xml:space="preserve">BOARD NOTE:  </w:t>
      </w:r>
      <w:r w:rsidR="008346B1">
        <w:t>This</w:t>
      </w:r>
      <w:r w:rsidR="00670516">
        <w:t xml:space="preserve"> </w:t>
      </w:r>
      <w:r>
        <w:t xml:space="preserve">subsection (e) </w:t>
      </w:r>
      <w:r w:rsidR="008346B1">
        <w:t>is</w:t>
      </w:r>
      <w:r>
        <w:t xml:space="preserve"> an additional State requirement. </w:t>
      </w:r>
    </w:p>
    <w:p w14:paraId="2BBF4145" w14:textId="77777777" w:rsidR="00D62C3A" w:rsidRDefault="00D62C3A" w:rsidP="001D7593">
      <w:pPr>
        <w:widowControl w:val="0"/>
        <w:autoSpaceDE w:val="0"/>
        <w:autoSpaceDN w:val="0"/>
        <w:adjustRightInd w:val="0"/>
      </w:pPr>
    </w:p>
    <w:p w14:paraId="6337ADD6" w14:textId="6A4928A3" w:rsidR="008346B1" w:rsidRPr="00D55B37" w:rsidRDefault="00CF1E3D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9C4AF1">
        <w:t>16486</w:t>
      </w:r>
      <w:r w:rsidRPr="00FD1AD2">
        <w:t xml:space="preserve">, effective </w:t>
      </w:r>
      <w:r w:rsidR="009C4AF1">
        <w:t>November 2, 2023</w:t>
      </w:r>
      <w:r w:rsidRPr="00FD1AD2">
        <w:t>)</w:t>
      </w:r>
    </w:p>
    <w:sectPr w:rsidR="008346B1" w:rsidRPr="00D55B37" w:rsidSect="00D62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C3A"/>
    <w:rsid w:val="00064BE2"/>
    <w:rsid w:val="001A0E9E"/>
    <w:rsid w:val="001B50C8"/>
    <w:rsid w:val="001D7593"/>
    <w:rsid w:val="00206A28"/>
    <w:rsid w:val="0022162A"/>
    <w:rsid w:val="0023154C"/>
    <w:rsid w:val="00274216"/>
    <w:rsid w:val="002D4738"/>
    <w:rsid w:val="00324C2D"/>
    <w:rsid w:val="003B2148"/>
    <w:rsid w:val="003F4F9C"/>
    <w:rsid w:val="00475230"/>
    <w:rsid w:val="00492DE7"/>
    <w:rsid w:val="005279F2"/>
    <w:rsid w:val="005C0C35"/>
    <w:rsid w:val="005C3366"/>
    <w:rsid w:val="006600D0"/>
    <w:rsid w:val="00664FCB"/>
    <w:rsid w:val="00670516"/>
    <w:rsid w:val="00766ED5"/>
    <w:rsid w:val="00833862"/>
    <w:rsid w:val="008346B1"/>
    <w:rsid w:val="00860861"/>
    <w:rsid w:val="009906F6"/>
    <w:rsid w:val="009C4AF1"/>
    <w:rsid w:val="00A34FBE"/>
    <w:rsid w:val="00A73057"/>
    <w:rsid w:val="00AA3796"/>
    <w:rsid w:val="00B46DCE"/>
    <w:rsid w:val="00C53FFC"/>
    <w:rsid w:val="00C95CE1"/>
    <w:rsid w:val="00CE5895"/>
    <w:rsid w:val="00CF1DE0"/>
    <w:rsid w:val="00CF1E3D"/>
    <w:rsid w:val="00CF6327"/>
    <w:rsid w:val="00CF64B9"/>
    <w:rsid w:val="00D532EB"/>
    <w:rsid w:val="00D62C3A"/>
    <w:rsid w:val="00D65151"/>
    <w:rsid w:val="00D875C7"/>
    <w:rsid w:val="00DB1649"/>
    <w:rsid w:val="00DB351D"/>
    <w:rsid w:val="00DE1050"/>
    <w:rsid w:val="00DE72DC"/>
    <w:rsid w:val="00E02752"/>
    <w:rsid w:val="00E84E93"/>
    <w:rsid w:val="00EC3C53"/>
    <w:rsid w:val="00F0581A"/>
    <w:rsid w:val="00FE5503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0876D4"/>
  <w15:docId w15:val="{0A6A54DE-BBA2-47DF-9B92-97CD7887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2023-11-17T13:57:00Z</dcterms:created>
  <dcterms:modified xsi:type="dcterms:W3CDTF">2023-11-17T16:02:00Z</dcterms:modified>
</cp:coreProperties>
</file>