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5CEF" w14:textId="77777777" w:rsidR="00F72681" w:rsidRDefault="00F72681" w:rsidP="00F72681">
      <w:pPr>
        <w:widowControl w:val="0"/>
        <w:autoSpaceDE w:val="0"/>
        <w:autoSpaceDN w:val="0"/>
        <w:adjustRightInd w:val="0"/>
      </w:pPr>
    </w:p>
    <w:p w14:paraId="1DB117B7" w14:textId="77777777" w:rsidR="00F72681" w:rsidRDefault="00F72681" w:rsidP="00F726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611.110  Special</w:t>
      </w:r>
      <w:proofErr w:type="gramEnd"/>
      <w:r>
        <w:rPr>
          <w:b/>
          <w:bCs/>
        </w:rPr>
        <w:t xml:space="preserve"> Exception Permits</w:t>
      </w:r>
      <w:r>
        <w:t xml:space="preserve"> </w:t>
      </w:r>
    </w:p>
    <w:p w14:paraId="2DE7879F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264AA4D2" w14:textId="1F3E2A73" w:rsidR="00F72681" w:rsidRDefault="009F6DFF" w:rsidP="00F726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F72681">
        <w:tab/>
        <w:t xml:space="preserve">The Agency must evaluate a request for a SEP </w:t>
      </w:r>
      <w:r w:rsidR="00FE205E">
        <w:t xml:space="preserve">granting relief </w:t>
      </w:r>
      <w:r w:rsidR="00F72681">
        <w:t>from monitoring requirements of Section 611.601, 611.602, or 611.603 (</w:t>
      </w:r>
      <w:r w:rsidR="00BB62AD">
        <w:t xml:space="preserve">IOCs, </w:t>
      </w:r>
      <w:r w:rsidR="00F72681">
        <w:t>excluding the Section 611.603 monitoring frequency requirements for cyanide); Section 611.646(f) (</w:t>
      </w:r>
      <w:r w:rsidR="00FE205E">
        <w:t xml:space="preserve">a </w:t>
      </w:r>
      <w:proofErr w:type="spellStart"/>
      <w:r w:rsidR="00FE205E">
        <w:t>GWS</w:t>
      </w:r>
      <w:proofErr w:type="spellEnd"/>
      <w:r w:rsidR="00FE205E">
        <w:t xml:space="preserve"> supplier for </w:t>
      </w:r>
      <w:r w:rsidR="00F72681">
        <w:t xml:space="preserve">Phase I, Phase II, and Phase V VOCs); Section 611.646(d) </w:t>
      </w:r>
      <w:r w:rsidR="00FE205E">
        <w:t>(</w:t>
      </w:r>
      <w:r w:rsidR="00F72681">
        <w:t>only as to initial monitoring for 1,2,4-trichlorobenzene</w:t>
      </w:r>
      <w:r w:rsidR="00FE205E">
        <w:t>)</w:t>
      </w:r>
      <w:r w:rsidR="00F72681">
        <w:t xml:space="preserve">; </w:t>
      </w:r>
      <w:r w:rsidR="001403D0">
        <w:t xml:space="preserve">or </w:t>
      </w:r>
      <w:r w:rsidR="00F72681">
        <w:t xml:space="preserve">Section 611.648(d) (Phase II, Phase IIB, and Phase V </w:t>
      </w:r>
      <w:proofErr w:type="spellStart"/>
      <w:r w:rsidR="00F72681">
        <w:t>SOCs</w:t>
      </w:r>
      <w:proofErr w:type="spellEnd"/>
      <w:r w:rsidR="00F72681">
        <w:t xml:space="preserve">) </w:t>
      </w:r>
      <w:r w:rsidR="00FE205E">
        <w:t xml:space="preserve">under this Section.  The Agency must evaluate </w:t>
      </w:r>
      <w:r w:rsidR="00F72681">
        <w:t xml:space="preserve">on the basis of </w:t>
      </w:r>
      <w:r w:rsidR="00FE205E">
        <w:t>known</w:t>
      </w:r>
      <w:r w:rsidR="00F72681">
        <w:t xml:space="preserve"> previous use (including transport, storage, or disposal) of the contaminant in the watershed or zone of influence of the system </w:t>
      </w:r>
      <w:r>
        <w:t>under</w:t>
      </w:r>
      <w:r w:rsidR="00F72681">
        <w:t xml:space="preserve"> 35 Ill. Adm. Code 671</w:t>
      </w:r>
      <w:r w:rsidR="00BB62AD">
        <w:t>.</w:t>
      </w:r>
      <w:r w:rsidR="00F72681">
        <w:t xml:space="preserve"> </w:t>
      </w:r>
    </w:p>
    <w:p w14:paraId="18A1DFC3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1511FCA8" w14:textId="271B6045" w:rsidR="00F72681" w:rsidRDefault="00F72681" w:rsidP="00110AF8">
      <w:pPr>
        <w:widowControl w:val="0"/>
        <w:autoSpaceDE w:val="0"/>
        <w:autoSpaceDN w:val="0"/>
        <w:adjustRightInd w:val="0"/>
        <w:ind w:left="1440"/>
      </w:pPr>
      <w:r>
        <w:t xml:space="preserve">BOARD NOTE:  The Agency </w:t>
      </w:r>
      <w:r w:rsidR="00FE205E">
        <w:t>may only issue</w:t>
      </w:r>
      <w:r>
        <w:t xml:space="preserve"> a SEP from the Section 611.603 monitoring frequency for cyanide </w:t>
      </w:r>
      <w:r w:rsidR="00FE205E">
        <w:t>based</w:t>
      </w:r>
      <w:r>
        <w:t xml:space="preserve"> on subsection (</w:t>
      </w:r>
      <w:r w:rsidR="009F6DFF">
        <w:t>c</w:t>
      </w:r>
      <w:r>
        <w:t xml:space="preserve">), not </w:t>
      </w:r>
      <w:r w:rsidR="00FE205E">
        <w:t xml:space="preserve">based </w:t>
      </w:r>
      <w:r>
        <w:t>on this subsection</w:t>
      </w:r>
      <w:r w:rsidR="00BB62AD">
        <w:t xml:space="preserve"> (</w:t>
      </w:r>
      <w:r w:rsidR="009F6DFF">
        <w:t>a</w:t>
      </w:r>
      <w:r w:rsidR="00BB62AD">
        <w:t>)</w:t>
      </w:r>
      <w:r>
        <w:t xml:space="preserve">. </w:t>
      </w:r>
    </w:p>
    <w:p w14:paraId="6E167113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6DFCE102" w14:textId="68B0E449" w:rsidR="00F72681" w:rsidRDefault="00F72681" w:rsidP="00F726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the Agency determines that there was no prior use of the contaminant</w:t>
      </w:r>
      <w:r w:rsidR="00FE205E">
        <w:t xml:space="preserve"> in the water system's watershed or zone of influence</w:t>
      </w:r>
      <w:r>
        <w:t xml:space="preserve">, </w:t>
      </w:r>
      <w:r w:rsidR="00FE205E">
        <w:t>the Agency</w:t>
      </w:r>
      <w:r>
        <w:t xml:space="preserve"> must </w:t>
      </w:r>
      <w:r w:rsidR="00FE205E">
        <w:t>issue</w:t>
      </w:r>
      <w:r>
        <w:t xml:space="preserve"> the SEP</w:t>
      </w:r>
      <w:r w:rsidR="00BB62AD">
        <w:t>;</w:t>
      </w:r>
      <w:r>
        <w:t xml:space="preserve"> or </w:t>
      </w:r>
    </w:p>
    <w:p w14:paraId="1950F45A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51BAE674" w14:textId="77F2F43F" w:rsidR="00F72681" w:rsidRDefault="00F72681" w:rsidP="00F726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</w:t>
      </w:r>
      <w:r w:rsidR="00FE205E">
        <w:t xml:space="preserve">anyone previously used </w:t>
      </w:r>
      <w:r>
        <w:t xml:space="preserve">the contaminant or the previous use </w:t>
      </w:r>
      <w:r w:rsidR="00FE205E">
        <w:t>is</w:t>
      </w:r>
      <w:r>
        <w:t xml:space="preserve"> unknown, the Agency must consider </w:t>
      </w:r>
      <w:r w:rsidR="00FE205E">
        <w:t>certain</w:t>
      </w:r>
      <w:r>
        <w:t xml:space="preserve"> factors: </w:t>
      </w:r>
    </w:p>
    <w:p w14:paraId="0A27CE1B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341A8CBE" w14:textId="77777777" w:rsidR="00F72681" w:rsidRDefault="00F72681" w:rsidP="00F7268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Previous analytical results; </w:t>
      </w:r>
    </w:p>
    <w:p w14:paraId="799631EE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120680A8" w14:textId="3E9102E2" w:rsidR="00F72681" w:rsidRDefault="00F72681" w:rsidP="00F7268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FE205E">
        <w:t xml:space="preserve">system's </w:t>
      </w:r>
      <w:r>
        <w:t xml:space="preserve">proximity to any possible point source of contamination (including spills or leaks at or near a water treatment facility; at manufacturing, distribution, or storage facilities; from hazardous and municipal waste </w:t>
      </w:r>
      <w:proofErr w:type="spellStart"/>
      <w:r>
        <w:t>land fills</w:t>
      </w:r>
      <w:proofErr w:type="spellEnd"/>
      <w:r>
        <w:t xml:space="preserve">; or from waste handling or treatment facilities) or non-point source of contamination (including the use of pesticides and other land application uses of the contaminant); </w:t>
      </w:r>
    </w:p>
    <w:p w14:paraId="1E8276FD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0E1B861B" w14:textId="77777777" w:rsidR="00F72681" w:rsidRDefault="00F72681" w:rsidP="00F7268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environmental persistence and transport of the contaminant; </w:t>
      </w:r>
    </w:p>
    <w:p w14:paraId="50F46424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4AB2AAF8" w14:textId="3C017BC7" w:rsidR="00F72681" w:rsidRDefault="00F72681" w:rsidP="00F7268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How well </w:t>
      </w:r>
      <w:r w:rsidR="00FE205E">
        <w:t xml:space="preserve">local conditions protect </w:t>
      </w:r>
      <w:r>
        <w:t>the water source against contamination, including</w:t>
      </w:r>
      <w:r w:rsidR="00FE205E">
        <w:t>:</w:t>
      </w:r>
      <w:r>
        <w:t xml:space="preserve"> </w:t>
      </w:r>
    </w:p>
    <w:p w14:paraId="4355C988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4D212D4A" w14:textId="15DF8E19" w:rsidR="00F72681" w:rsidRDefault="00F72681" w:rsidP="00F72681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FE205E">
        <w:t>For a</w:t>
      </w:r>
      <w:r>
        <w:t xml:space="preserve"> </w:t>
      </w:r>
      <w:proofErr w:type="spellStart"/>
      <w:r>
        <w:t>GWS</w:t>
      </w:r>
      <w:proofErr w:type="spellEnd"/>
      <w:r w:rsidR="00FE205E">
        <w:t>,</w:t>
      </w:r>
      <w:r>
        <w:t xml:space="preserve"> well depth, soil type, well casing integrity, and wellhead protection; and </w:t>
      </w:r>
    </w:p>
    <w:p w14:paraId="0CD34348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1FC8DB01" w14:textId="3BF7DCFB" w:rsidR="00F72681" w:rsidRDefault="00F72681" w:rsidP="00F7268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FE205E">
        <w:t>For an</w:t>
      </w:r>
      <w:r>
        <w:t xml:space="preserve"> SWS</w:t>
      </w:r>
      <w:r w:rsidR="00FE205E">
        <w:t>,</w:t>
      </w:r>
      <w:r>
        <w:t xml:space="preserve"> watershed protection; </w:t>
      </w:r>
    </w:p>
    <w:p w14:paraId="77867187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7BBE42C6" w14:textId="2EE54F05" w:rsidR="00F72681" w:rsidRDefault="00F72681" w:rsidP="00F7268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For Phase II, Phase IIB, and Phase V </w:t>
      </w:r>
      <w:proofErr w:type="spellStart"/>
      <w:r>
        <w:t>SOCs</w:t>
      </w:r>
      <w:proofErr w:type="spellEnd"/>
      <w:r>
        <w:t xml:space="preserve">: </w:t>
      </w:r>
    </w:p>
    <w:p w14:paraId="4D149426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29845723" w14:textId="77777777" w:rsidR="00F72681" w:rsidRDefault="00F72681" w:rsidP="00F72681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lastRenderedPageBreak/>
        <w:t>i</w:t>
      </w:r>
      <w:proofErr w:type="spellEnd"/>
      <w:r>
        <w:t>)</w:t>
      </w:r>
      <w:r>
        <w:tab/>
        <w:t xml:space="preserve">Elevated nitrate levels at the water source; and </w:t>
      </w:r>
    </w:p>
    <w:p w14:paraId="550FB1AE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5620437D" w14:textId="2E153162" w:rsidR="00F72681" w:rsidRDefault="00F72681" w:rsidP="00F7268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use of PCBs in equipment </w:t>
      </w:r>
      <w:r w:rsidR="00FE205E">
        <w:t>the supplier uses to produce, store, and distribute</w:t>
      </w:r>
      <w:r>
        <w:t xml:space="preserve"> water (including pumps, transformers, etc.); and </w:t>
      </w:r>
    </w:p>
    <w:p w14:paraId="2ECA061A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1758D84F" w14:textId="6B5F3494" w:rsidR="00F72681" w:rsidRDefault="00F72681" w:rsidP="00F7268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For Phase I, Phase II, and Phase V VOCs (</w:t>
      </w:r>
      <w:r w:rsidR="008E001B">
        <w:t>under</w:t>
      </w:r>
      <w:r>
        <w:t xml:space="preserve"> Section 611.646)</w:t>
      </w:r>
      <w:r w:rsidR="00FE205E">
        <w:t>,</w:t>
      </w:r>
      <w:r>
        <w:t xml:space="preserve"> the number of persons the </w:t>
      </w:r>
      <w:proofErr w:type="spellStart"/>
      <w:r>
        <w:t>PWS</w:t>
      </w:r>
      <w:proofErr w:type="spellEnd"/>
      <w:r>
        <w:t xml:space="preserve"> </w:t>
      </w:r>
      <w:r w:rsidR="00FE205E">
        <w:t xml:space="preserve">serves, </w:t>
      </w:r>
      <w:r>
        <w:t xml:space="preserve">and the proximity of a smaller system to a larger one. </w:t>
      </w:r>
    </w:p>
    <w:p w14:paraId="466EFF67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2B48EECE" w14:textId="6A71745A" w:rsidR="00F72681" w:rsidRDefault="008E001B" w:rsidP="00F726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F72681">
        <w:tab/>
        <w:t>If a supplier refuses to provide any necessary additional information the Agency</w:t>
      </w:r>
      <w:r w:rsidR="00FE205E">
        <w:t xml:space="preserve"> requests</w:t>
      </w:r>
      <w:r w:rsidR="00F72681">
        <w:t xml:space="preserve">, or if a supplier delivers any necessary information late in the Agency's deliberations on a request, the Agency may deny the SEP or </w:t>
      </w:r>
      <w:r w:rsidR="00FE205E">
        <w:t>issue</w:t>
      </w:r>
      <w:r w:rsidR="00F72681">
        <w:t xml:space="preserve"> the SEP with conditions within the time allowed by law. </w:t>
      </w:r>
    </w:p>
    <w:p w14:paraId="27FE2D41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5D1AD6FA" w14:textId="7DA6D2DD" w:rsidR="00F72681" w:rsidRDefault="008E001B" w:rsidP="00F726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F72681">
        <w:tab/>
        <w:t xml:space="preserve">The Agency must </w:t>
      </w:r>
      <w:r w:rsidR="00FE205E">
        <w:t>issue</w:t>
      </w:r>
      <w:r w:rsidR="00F72681">
        <w:t xml:space="preserve"> a SEP </w:t>
      </w:r>
      <w:r w:rsidR="00FE205E">
        <w:t>allowing a supplier</w:t>
      </w:r>
      <w:r w:rsidR="00F72681">
        <w:t xml:space="preserve"> to discontinue monitoring for cyanide </w:t>
      </w:r>
      <w:r w:rsidR="00FE205E">
        <w:t>upon determining</w:t>
      </w:r>
      <w:r w:rsidR="00F72681">
        <w:t xml:space="preserve"> that the supplier's water is not vulnerable to any industrial source of cyanide. </w:t>
      </w:r>
    </w:p>
    <w:p w14:paraId="69B60FC8" w14:textId="77777777" w:rsidR="0058506B" w:rsidRDefault="0058506B" w:rsidP="00110AF8">
      <w:pPr>
        <w:widowControl w:val="0"/>
        <w:autoSpaceDE w:val="0"/>
        <w:autoSpaceDN w:val="0"/>
        <w:adjustRightInd w:val="0"/>
      </w:pPr>
    </w:p>
    <w:p w14:paraId="08885921" w14:textId="732EDB35" w:rsidR="00F72681" w:rsidRDefault="00F72681" w:rsidP="001403D0">
      <w:pPr>
        <w:widowControl w:val="0"/>
        <w:autoSpaceDE w:val="0"/>
        <w:autoSpaceDN w:val="0"/>
        <w:adjustRightInd w:val="0"/>
        <w:ind w:left="720"/>
      </w:pPr>
      <w:r>
        <w:t>BOARD NOTE:  Subsection (</w:t>
      </w:r>
      <w:r w:rsidR="008E001B">
        <w:t>a</w:t>
      </w:r>
      <w:r>
        <w:t xml:space="preserve">) </w:t>
      </w:r>
      <w:r w:rsidR="00FE205E">
        <w:t>derives</w:t>
      </w:r>
      <w:r>
        <w:t xml:space="preserve"> from 40 CFR 141.24(f)(8) and (h)(6).  Subsection (</w:t>
      </w:r>
      <w:r w:rsidR="008E001B">
        <w:t>b</w:t>
      </w:r>
      <w:r w:rsidR="00427644">
        <w:t>)</w:t>
      </w:r>
      <w:r>
        <w:t xml:space="preserve"> </w:t>
      </w:r>
      <w:r w:rsidR="00427644">
        <w:t>derives</w:t>
      </w:r>
      <w:r>
        <w:t xml:space="preserve"> from 40 CFR 141.82(d)(2), and 141.83(b)(2).  Subsection (</w:t>
      </w:r>
      <w:r w:rsidR="008E001B">
        <w:t>c</w:t>
      </w:r>
      <w:r>
        <w:t xml:space="preserve">) </w:t>
      </w:r>
      <w:r w:rsidR="00427644">
        <w:t>derives</w:t>
      </w:r>
      <w:r>
        <w:t xml:space="preserve"> from 40 CFR 141.23(c)(2). </w:t>
      </w:r>
      <w:r w:rsidR="00427644">
        <w:t xml:space="preserve">At 40 CFR 142.18, </w:t>
      </w:r>
      <w:r>
        <w:t xml:space="preserve">USEPA </w:t>
      </w:r>
      <w:r w:rsidR="00427644">
        <w:t>reserves</w:t>
      </w:r>
      <w:r>
        <w:t xml:space="preserve"> discretion to review and nullify Agency determinations of the </w:t>
      </w:r>
      <w:r w:rsidR="00427644">
        <w:t>kinds</w:t>
      </w:r>
      <w:r>
        <w:t xml:space="preserve"> made </w:t>
      </w:r>
      <w:r w:rsidR="008E001B">
        <w:t>under</w:t>
      </w:r>
      <w:r>
        <w:t xml:space="preserve"> Sections 611.602, 611.603, 611.646, and 611.648</w:t>
      </w:r>
      <w:r w:rsidR="00427644">
        <w:t>. At</w:t>
      </w:r>
      <w:r>
        <w:t xml:space="preserve"> 40 CFR 141.82(</w:t>
      </w:r>
      <w:proofErr w:type="spellStart"/>
      <w:r>
        <w:t>i</w:t>
      </w:r>
      <w:proofErr w:type="spellEnd"/>
      <w:r>
        <w:t xml:space="preserve">), 141.83(b)(7), and 142.19, </w:t>
      </w:r>
      <w:r w:rsidR="00427644">
        <w:t xml:space="preserve">USEPA maintains authority </w:t>
      </w:r>
      <w:r>
        <w:t xml:space="preserve">to establish federal standards for any supplier superseding any Agency determination </w:t>
      </w:r>
      <w:r w:rsidR="008E001B">
        <w:t>under</w:t>
      </w:r>
      <w:r>
        <w:t xml:space="preserve"> Sections 611.352(d), 611.352(f), 611.353(b)(2), and 611.353(b)(4). </w:t>
      </w:r>
    </w:p>
    <w:p w14:paraId="71D008EC" w14:textId="77777777" w:rsidR="00BB62AD" w:rsidRDefault="00BB62AD" w:rsidP="00110AF8">
      <w:pPr>
        <w:widowControl w:val="0"/>
        <w:autoSpaceDE w:val="0"/>
        <w:autoSpaceDN w:val="0"/>
        <w:adjustRightInd w:val="0"/>
      </w:pPr>
    </w:p>
    <w:p w14:paraId="54F33FF1" w14:textId="09A01C99" w:rsidR="00303799" w:rsidRDefault="00427644" w:rsidP="00303799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3444AA">
        <w:t>16486</w:t>
      </w:r>
      <w:r w:rsidRPr="00FD1AD2">
        <w:t xml:space="preserve">, effective </w:t>
      </w:r>
      <w:r w:rsidR="003444AA">
        <w:t>November 2, 2023</w:t>
      </w:r>
      <w:r w:rsidRPr="00FD1AD2">
        <w:t>)</w:t>
      </w:r>
    </w:p>
    <w:sectPr w:rsidR="00303799" w:rsidSect="00F72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681"/>
    <w:rsid w:val="00053FAB"/>
    <w:rsid w:val="00110AF8"/>
    <w:rsid w:val="001403D0"/>
    <w:rsid w:val="002062A3"/>
    <w:rsid w:val="00224384"/>
    <w:rsid w:val="00273EEF"/>
    <w:rsid w:val="00286C9D"/>
    <w:rsid w:val="00303799"/>
    <w:rsid w:val="003444AA"/>
    <w:rsid w:val="00427644"/>
    <w:rsid w:val="00580462"/>
    <w:rsid w:val="0058506B"/>
    <w:rsid w:val="005B7B79"/>
    <w:rsid w:val="005C3366"/>
    <w:rsid w:val="00602333"/>
    <w:rsid w:val="00680CE3"/>
    <w:rsid w:val="007073AA"/>
    <w:rsid w:val="00712946"/>
    <w:rsid w:val="007C084A"/>
    <w:rsid w:val="00837DB1"/>
    <w:rsid w:val="008472BB"/>
    <w:rsid w:val="008A2227"/>
    <w:rsid w:val="008E001B"/>
    <w:rsid w:val="009F6DFF"/>
    <w:rsid w:val="00A56EC9"/>
    <w:rsid w:val="00AB34DE"/>
    <w:rsid w:val="00B305CE"/>
    <w:rsid w:val="00BB62AD"/>
    <w:rsid w:val="00BD02C6"/>
    <w:rsid w:val="00C37F4E"/>
    <w:rsid w:val="00C60A97"/>
    <w:rsid w:val="00F51F66"/>
    <w:rsid w:val="00F72681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8A6EEF"/>
  <w15:docId w15:val="{0AFCEB6B-3DDA-4FD0-8CBD-6C5BF79A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2023-11-17T13:55:00Z</dcterms:created>
  <dcterms:modified xsi:type="dcterms:W3CDTF">2023-11-17T16:34:00Z</dcterms:modified>
</cp:coreProperties>
</file>