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C978" w14:textId="77777777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08EEB85" w14:textId="77777777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FC7F2A">
        <w:rPr>
          <w:b/>
        </w:rPr>
        <w:t xml:space="preserve">Section </w:t>
      </w:r>
      <w:proofErr w:type="gramStart"/>
      <w:r w:rsidRPr="00FC7F2A">
        <w:rPr>
          <w:b/>
        </w:rPr>
        <w:t>502.620  Protocols</w:t>
      </w:r>
      <w:proofErr w:type="gramEnd"/>
      <w:r w:rsidRPr="00FC7F2A">
        <w:rPr>
          <w:b/>
        </w:rPr>
        <w:t xml:space="preserve"> to Land Apply Livestock Waste </w:t>
      </w:r>
    </w:p>
    <w:p w14:paraId="55EE0895" w14:textId="77777777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7CC2FF8" w14:textId="4F27DD28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FC7F2A">
        <w:t>a)</w:t>
      </w:r>
      <w:r w:rsidRPr="00FC7F2A">
        <w:tab/>
      </w:r>
      <w:r w:rsidRPr="00FC7F2A">
        <w:rPr>
          <w:color w:val="000000"/>
        </w:rPr>
        <w:t xml:space="preserve">Livestock wastes </w:t>
      </w:r>
      <w:r w:rsidR="00EA7A51">
        <w:rPr>
          <w:color w:val="000000"/>
        </w:rPr>
        <w:t>must</w:t>
      </w:r>
      <w:r w:rsidRPr="00FC7F2A">
        <w:rPr>
          <w:color w:val="000000"/>
        </w:rPr>
        <w:t xml:space="preserve"> not be applied to </w:t>
      </w:r>
      <w:r w:rsidR="000C067A">
        <w:rPr>
          <w:color w:val="000000"/>
        </w:rPr>
        <w:t xml:space="preserve">the </w:t>
      </w:r>
      <w:r w:rsidRPr="00FC7F2A">
        <w:rPr>
          <w:color w:val="000000"/>
        </w:rPr>
        <w:t xml:space="preserve">waters of the United States.  Livestock waste application </w:t>
      </w:r>
      <w:r w:rsidR="00EA7A51">
        <w:rPr>
          <w:color w:val="000000"/>
        </w:rPr>
        <w:t>must</w:t>
      </w:r>
      <w:r w:rsidRPr="00FC7F2A">
        <w:rPr>
          <w:color w:val="000000"/>
        </w:rPr>
        <w:t xml:space="preserve"> not cause runoff </w:t>
      </w:r>
      <w:r w:rsidR="000C067A">
        <w:rPr>
          <w:color w:val="000000"/>
        </w:rPr>
        <w:t>into the</w:t>
      </w:r>
      <w:r w:rsidRPr="00FC7F2A">
        <w:rPr>
          <w:color w:val="000000"/>
        </w:rPr>
        <w:t xml:space="preserve"> waters of the United States during non-precipitation events</w:t>
      </w:r>
      <w:r w:rsidR="00753647">
        <w:rPr>
          <w:color w:val="000000"/>
        </w:rPr>
        <w:t xml:space="preserve">.  </w:t>
      </w:r>
      <w:r w:rsidRPr="00FC7F2A">
        <w:rPr>
          <w:color w:val="000000"/>
        </w:rPr>
        <w:t xml:space="preserve">Livestock waste application </w:t>
      </w:r>
      <w:r w:rsidR="003A4580">
        <w:rPr>
          <w:color w:val="000000"/>
        </w:rPr>
        <w:t>must</w:t>
      </w:r>
      <w:r w:rsidRPr="00FC7F2A">
        <w:rPr>
          <w:color w:val="000000"/>
        </w:rPr>
        <w:t xml:space="preserve"> not occur on land that is saturated at the time of application.  Livestock waste </w:t>
      </w:r>
      <w:r w:rsidR="00EA7A51">
        <w:rPr>
          <w:color w:val="000000"/>
        </w:rPr>
        <w:t>must</w:t>
      </w:r>
      <w:r w:rsidRPr="00FC7F2A">
        <w:rPr>
          <w:color w:val="000000"/>
        </w:rPr>
        <w:t xml:space="preserve"> not be applied onto land with ponded water.</w:t>
      </w:r>
    </w:p>
    <w:p w14:paraId="5F590FE3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76C36CA6" w14:textId="77777777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b)</w:t>
      </w:r>
      <w:r w:rsidRPr="00FC7F2A">
        <w:tab/>
        <w:t>Discharge of livestock waste to waters of the United States or off-site during dry weather through subsurface drains is prohibited.</w:t>
      </w:r>
    </w:p>
    <w:p w14:paraId="422C1FCE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31CCF349" w14:textId="475C2378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c)</w:t>
      </w:r>
      <w:r w:rsidRPr="00FC7F2A">
        <w:tab/>
        <w:t xml:space="preserve">Livestock waste </w:t>
      </w:r>
      <w:r w:rsidR="00EA7A51">
        <w:t>must</w:t>
      </w:r>
      <w:r w:rsidRPr="00FC7F2A">
        <w:t xml:space="preserve"> not be applied during precipitation when runoff of livestock waste will be produced.</w:t>
      </w:r>
    </w:p>
    <w:p w14:paraId="1E9DFC02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DD98CF4" w14:textId="70F05496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d)</w:t>
      </w:r>
      <w:r w:rsidRPr="00FC7F2A">
        <w:tab/>
        <w:t xml:space="preserve">Surface land application of livestock waste </w:t>
      </w:r>
      <w:r w:rsidR="00EA7A51">
        <w:t>must</w:t>
      </w:r>
      <w:r w:rsidRPr="00FC7F2A">
        <w:t xml:space="preserve"> not occur within 24</w:t>
      </w:r>
      <w:r w:rsidR="00E67D88" w:rsidRPr="00FC7F2A">
        <w:t xml:space="preserve"> </w:t>
      </w:r>
      <w:r w:rsidRPr="00FC7F2A">
        <w:t xml:space="preserve">hours preceding a </w:t>
      </w:r>
      <w:r w:rsidR="00EA7A51" w:rsidRPr="00EA7A51">
        <w:t xml:space="preserve">precipitation </w:t>
      </w:r>
      <w:r w:rsidRPr="00FC7F2A">
        <w:t>forecast of 0.5 inches or more in a 24</w:t>
      </w:r>
      <w:r w:rsidR="00C1025B" w:rsidRPr="00FC7F2A">
        <w:t>-</w:t>
      </w:r>
      <w:r w:rsidRPr="00FC7F2A">
        <w:t xml:space="preserve">hour period as measured in liquid form.  The CAFO owner or operator </w:t>
      </w:r>
      <w:r w:rsidR="00EA7A51">
        <w:t>must</w:t>
      </w:r>
      <w:r w:rsidRPr="00FC7F2A">
        <w:t xml:space="preserve"> use one of the </w:t>
      </w:r>
      <w:r w:rsidR="00FA6786" w:rsidRPr="00FC7F2A">
        <w:t xml:space="preserve">following </w:t>
      </w:r>
      <w:r w:rsidRPr="00FC7F2A">
        <w:t xml:space="preserve">two methods for determining whether these conditions exist and </w:t>
      </w:r>
      <w:r w:rsidR="00EA7A51">
        <w:t>must</w:t>
      </w:r>
      <w:r w:rsidRPr="00FC7F2A">
        <w:t xml:space="preserve"> maintain a record of the forecast from the source used</w:t>
      </w:r>
      <w:r w:rsidR="009F3745">
        <w:t>.</w:t>
      </w:r>
    </w:p>
    <w:p w14:paraId="0E013746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FB2289B" w14:textId="77777777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FC7F2A">
        <w:t>1)</w:t>
      </w:r>
      <w:r w:rsidRPr="00FC7F2A">
        <w:tab/>
        <w:t>A prediction of a 60 percent or greater chance of 0.5 inches or more of precipitation in a 24</w:t>
      </w:r>
      <w:r w:rsidR="00FA6786" w:rsidRPr="00FC7F2A">
        <w:t>-</w:t>
      </w:r>
      <w:r w:rsidRPr="00FC7F2A">
        <w:t>hour period as measured in liquid form, obtained from the National Weather Service</w:t>
      </w:r>
      <w:r w:rsidR="00FA6786" w:rsidRPr="00FC7F2A">
        <w:t>'</w:t>
      </w:r>
      <w:r w:rsidRPr="00FC7F2A">
        <w:t>s Meteorological Development Laboratory, Statistical Modeling Branch, 1325 East West Highway, Silver Spring MD 20910 for the location nearest to the land application area; or</w:t>
      </w:r>
    </w:p>
    <w:p w14:paraId="50CCBAA5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60F8E35" w14:textId="3C84147A" w:rsidR="00F55502" w:rsidRPr="00F43078" w:rsidRDefault="00F55502" w:rsidP="00EA7A51">
      <w:pPr>
        <w:widowControl/>
        <w:overflowPunct w:val="0"/>
        <w:autoSpaceDE w:val="0"/>
        <w:autoSpaceDN w:val="0"/>
        <w:adjustRightInd w:val="0"/>
        <w:ind w:left="2160"/>
        <w:textAlignment w:val="baseline"/>
      </w:pPr>
      <w:r w:rsidRPr="00FC7F2A">
        <w:t xml:space="preserve">BOARD NOTE:  The prediction </w:t>
      </w:r>
      <w:r w:rsidR="00FA6786" w:rsidRPr="00FC7F2A">
        <w:t xml:space="preserve">in subsection </w:t>
      </w:r>
      <w:r w:rsidRPr="00FC7F2A">
        <w:t xml:space="preserve">(d)(1) may be obtained from the National Weather Service at </w:t>
      </w:r>
      <w:bookmarkStart w:id="0" w:name="_Hlk129079945"/>
      <w:r w:rsidR="003A4580" w:rsidRPr="0093525B">
        <w:t>http</w:t>
      </w:r>
      <w:r w:rsidR="000C067A" w:rsidRPr="0093525B">
        <w:t>s</w:t>
      </w:r>
      <w:r w:rsidR="003A4580" w:rsidRPr="0093525B">
        <w:t>://www.wpc.ncep.noaa.gov/pqpf</w:t>
      </w:r>
      <w:r w:rsidR="000C067A" w:rsidRPr="0093525B">
        <w:t>/</w:t>
      </w:r>
      <w:r w:rsidR="003A4580" w:rsidRPr="0093525B">
        <w:t>conus</w:t>
      </w:r>
      <w:r w:rsidR="000C067A" w:rsidRPr="0093525B">
        <w:t>_</w:t>
      </w:r>
      <w:r w:rsidR="003A4580" w:rsidRPr="0093525B">
        <w:t>hpc</w:t>
      </w:r>
      <w:r w:rsidR="000C067A" w:rsidRPr="0093525B">
        <w:t>_</w:t>
      </w:r>
      <w:r w:rsidR="003A4580" w:rsidRPr="0093525B">
        <w:t>pqp</w:t>
      </w:r>
      <w:r w:rsidR="000C067A" w:rsidRPr="0093525B">
        <w:t>f</w:t>
      </w:r>
      <w:r w:rsidR="003A4580" w:rsidRPr="0093525B">
        <w:t>.php</w:t>
      </w:r>
      <w:bookmarkEnd w:id="0"/>
    </w:p>
    <w:p w14:paraId="7DCF7ADD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BA97AE8" w14:textId="3184AB37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FC7F2A">
        <w:t>2)</w:t>
      </w:r>
      <w:r w:rsidRPr="00FC7F2A">
        <w:tab/>
        <w:t xml:space="preserve">A prediction of 0.5 inches or more of precipitation in a </w:t>
      </w:r>
      <w:proofErr w:type="gramStart"/>
      <w:r w:rsidRPr="00FC7F2A">
        <w:t>24</w:t>
      </w:r>
      <w:r w:rsidR="0079708E">
        <w:t xml:space="preserve"> </w:t>
      </w:r>
      <w:r w:rsidRPr="00FC7F2A">
        <w:t>hour</w:t>
      </w:r>
      <w:proofErr w:type="gramEnd"/>
      <w:r w:rsidRPr="00FC7F2A">
        <w:t xml:space="preserve"> period as measured in liquid form and identified as higher than Quantitative Precipitation Forecast</w:t>
      </w:r>
      <w:r w:rsidR="003A4580">
        <w:t xml:space="preserve"> </w:t>
      </w:r>
      <w:r w:rsidRPr="00FC7F2A">
        <w:t>(</w:t>
      </w:r>
      <w:proofErr w:type="spellStart"/>
      <w:r w:rsidRPr="00FC7F2A">
        <w:t>QPF</w:t>
      </w:r>
      <w:proofErr w:type="spellEnd"/>
      <w:r w:rsidRPr="00FC7F2A">
        <w:t>) category 3, obtained from the National Weather Service</w:t>
      </w:r>
      <w:r w:rsidR="00FA6786" w:rsidRPr="00FC7F2A">
        <w:t>'</w:t>
      </w:r>
      <w:r w:rsidRPr="00FC7F2A">
        <w:t>s Meteorological Development Laboratory, Statistical Modeling Branch, 1325 East West Highway, Silver Spring MD 20910 for the land application area location.</w:t>
      </w:r>
    </w:p>
    <w:p w14:paraId="4FDCCB41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46E668F" w14:textId="2FC95848" w:rsidR="00F55502" w:rsidRPr="00FC7F2A" w:rsidRDefault="00F55502" w:rsidP="00F43078">
      <w:pPr>
        <w:ind w:left="2160"/>
      </w:pPr>
      <w:r w:rsidRPr="00FC7F2A">
        <w:t xml:space="preserve">BOARD NOTE:  The prediction in </w:t>
      </w:r>
      <w:r w:rsidR="00FA6786" w:rsidRPr="00FC7F2A">
        <w:t xml:space="preserve">subsection </w:t>
      </w:r>
      <w:r w:rsidRPr="00FC7F2A">
        <w:t>(d)(2) may be obtained from the National Weather Service</w:t>
      </w:r>
      <w:r w:rsidR="00E67D88" w:rsidRPr="00FC7F2A">
        <w:t xml:space="preserve"> </w:t>
      </w:r>
      <w:r w:rsidRPr="00FC7F2A">
        <w:t xml:space="preserve">at </w:t>
      </w:r>
      <w:r w:rsidR="003A4580" w:rsidRPr="0093525B">
        <w:t>http://www.wpc.ncep.noaa.gov/qpf</w:t>
      </w:r>
      <w:r w:rsidR="000C067A" w:rsidRPr="0093525B">
        <w:t>/</w:t>
      </w:r>
      <w:r w:rsidR="003A4580" w:rsidRPr="0093525B">
        <w:t>qpf</w:t>
      </w:r>
      <w:r w:rsidR="000C067A" w:rsidRPr="0093525B">
        <w:t>2</w:t>
      </w:r>
      <w:r w:rsidR="003A4580" w:rsidRPr="0093525B">
        <w:t>.shtml</w:t>
      </w:r>
      <w:r w:rsidR="00FA6786" w:rsidRPr="00FC7F2A">
        <w:t>.</w:t>
      </w:r>
    </w:p>
    <w:p w14:paraId="7A617601" w14:textId="77777777" w:rsidR="00F55502" w:rsidRPr="00FC7F2A" w:rsidRDefault="00F55502" w:rsidP="00F43078"/>
    <w:p w14:paraId="07F90073" w14:textId="77777777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  <w:rPr>
          <w:b/>
        </w:rPr>
      </w:pPr>
      <w:r w:rsidRPr="00FC7F2A">
        <w:t>e)</w:t>
      </w:r>
      <w:r w:rsidRPr="00FC7F2A">
        <w:tab/>
        <w:t>Determination of soil loss must be made for each field using Revised Universal Soil Loss Equation 2</w:t>
      </w:r>
      <w:r w:rsidR="00FA6786" w:rsidRPr="00FC7F2A">
        <w:t xml:space="preserve"> (</w:t>
      </w:r>
      <w:proofErr w:type="spellStart"/>
      <w:r w:rsidR="00FA6786" w:rsidRPr="00FC7F2A">
        <w:t>RUSLE2</w:t>
      </w:r>
      <w:proofErr w:type="spellEnd"/>
      <w:r w:rsidR="00FA6786" w:rsidRPr="00FC7F2A">
        <w:t>)</w:t>
      </w:r>
      <w:r w:rsidRPr="00FC7F2A">
        <w:t>.</w:t>
      </w:r>
    </w:p>
    <w:p w14:paraId="7692E775" w14:textId="77777777" w:rsidR="00F55502" w:rsidRPr="00FC7F2A" w:rsidRDefault="00F55502" w:rsidP="001F159B">
      <w:pPr>
        <w:widowControl/>
        <w:contextualSpacing/>
      </w:pPr>
    </w:p>
    <w:p w14:paraId="63B95F6E" w14:textId="23EB3A7D" w:rsidR="00F55502" w:rsidRPr="00FC7F2A" w:rsidRDefault="00F55502" w:rsidP="00F55502">
      <w:pPr>
        <w:widowControl/>
        <w:ind w:left="1440"/>
        <w:contextualSpacing/>
      </w:pPr>
      <w:r w:rsidRPr="00FC7F2A">
        <w:lastRenderedPageBreak/>
        <w:t xml:space="preserve">BOARD NOTE:  Soil loss may be </w:t>
      </w:r>
      <w:r w:rsidR="00CE549E" w:rsidRPr="00FC7F2A">
        <w:t xml:space="preserve">calculated </w:t>
      </w:r>
      <w:r w:rsidRPr="00FC7F2A">
        <w:t xml:space="preserve">using </w:t>
      </w:r>
      <w:r w:rsidR="00FA6786" w:rsidRPr="00FC7F2A">
        <w:t xml:space="preserve">the </w:t>
      </w:r>
      <w:proofErr w:type="spellStart"/>
      <w:r w:rsidRPr="00FC7F2A">
        <w:t>RUSLE2</w:t>
      </w:r>
      <w:proofErr w:type="spellEnd"/>
      <w:r w:rsidRPr="00FC7F2A">
        <w:t xml:space="preserve"> software program available at </w:t>
      </w:r>
      <w:r w:rsidR="00B75FCC" w:rsidRPr="00B75FCC">
        <w:t>http://fargo.nserl.purdue.edu/rusle2_dataweb/</w:t>
      </w:r>
      <w:r w:rsidRPr="00FC7F2A">
        <w:t>RUSLE2_Index.htm</w:t>
      </w:r>
      <w:r w:rsidR="00FA6786" w:rsidRPr="00FC7F2A">
        <w:t>.</w:t>
      </w:r>
      <w:r w:rsidR="00CE549E" w:rsidRPr="00FC7F2A">
        <w:t xml:space="preserve">  Additional information may be obtained from the United States Department of Agriculture, Agricultur</w:t>
      </w:r>
      <w:r w:rsidR="00583219" w:rsidRPr="00FC7F2A">
        <w:t>al</w:t>
      </w:r>
      <w:r w:rsidR="00CE549E" w:rsidRPr="00FC7F2A">
        <w:t xml:space="preserve"> Research Service, 1400 Independence Avenue, S.W., Washington DC </w:t>
      </w:r>
      <w:r w:rsidR="000D3E3C">
        <w:t xml:space="preserve"> </w:t>
      </w:r>
      <w:r w:rsidR="00CE549E" w:rsidRPr="00FC7F2A">
        <w:t>20250</w:t>
      </w:r>
      <w:r w:rsidR="001D20D3" w:rsidRPr="00FC7F2A">
        <w:t>,</w:t>
      </w:r>
      <w:r w:rsidR="00CE549E" w:rsidRPr="00FC7F2A">
        <w:t xml:space="preserve"> (202) 720-3656</w:t>
      </w:r>
    </w:p>
    <w:p w14:paraId="598EDA99" w14:textId="77777777" w:rsidR="00F55502" w:rsidRPr="00FC7F2A" w:rsidRDefault="00F55502" w:rsidP="001F159B">
      <w:pPr>
        <w:widowControl/>
        <w:contextualSpacing/>
      </w:pPr>
    </w:p>
    <w:p w14:paraId="5864FF0A" w14:textId="47DE3940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f)</w:t>
      </w:r>
      <w:r w:rsidRPr="00FC7F2A">
        <w:tab/>
        <w:t xml:space="preserve">Surface land application may be used when the land slope is no greater than 5% or when the yearly average soil loss calculated using </w:t>
      </w:r>
      <w:proofErr w:type="spellStart"/>
      <w:r w:rsidR="00FA6786" w:rsidRPr="00FC7F2A">
        <w:t>RUSLE2</w:t>
      </w:r>
      <w:proofErr w:type="spellEnd"/>
      <w:r w:rsidRPr="00FC7F2A">
        <w:t xml:space="preserve"> is equal to or less than 5 tons per acre per year or Erosion Factor T, whichever is less, regardless of slope.  Injection or incorporation within 24 hours </w:t>
      </w:r>
      <w:r w:rsidR="000D7083">
        <w:t>must</w:t>
      </w:r>
      <w:r w:rsidRPr="00FC7F2A">
        <w:t xml:space="preserve"> be used when the land slope is greater than 5% and the yearly average soil loss calculated using </w:t>
      </w:r>
      <w:proofErr w:type="spellStart"/>
      <w:r w:rsidR="006777EA" w:rsidRPr="00FC7F2A">
        <w:t>RUSLE2</w:t>
      </w:r>
      <w:proofErr w:type="spellEnd"/>
      <w:r w:rsidR="006777EA" w:rsidRPr="00FC7F2A">
        <w:t xml:space="preserve"> </w:t>
      </w:r>
      <w:r w:rsidRPr="00FC7F2A">
        <w:t>is greater than 5 tons per acre per year or Erosion Factor T, whichever is less.</w:t>
      </w:r>
      <w:r w:rsidR="00CE549E" w:rsidRPr="00FC7F2A">
        <w:t xml:space="preserve">  Fields with varying or steep slopes must be divided into separate areas for calculating yearly average soil loss using </w:t>
      </w:r>
      <w:proofErr w:type="spellStart"/>
      <w:r w:rsidR="00CE549E" w:rsidRPr="00FC7F2A">
        <w:t>RUSLE2</w:t>
      </w:r>
      <w:proofErr w:type="spellEnd"/>
      <w:r w:rsidR="00CE549E" w:rsidRPr="00FC7F2A">
        <w:t xml:space="preserve"> to comply with this subsection.</w:t>
      </w:r>
    </w:p>
    <w:p w14:paraId="35990C35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E61F9EC" w14:textId="6D2D60C8" w:rsidR="00CE549E" w:rsidRPr="00FC7F2A" w:rsidRDefault="00F55502" w:rsidP="00F43078">
      <w:pPr>
        <w:ind w:left="1440"/>
      </w:pPr>
      <w:r w:rsidRPr="00FC7F2A">
        <w:t xml:space="preserve">BOARD NOTE:  Soil loss may be </w:t>
      </w:r>
      <w:r w:rsidR="00CE549E" w:rsidRPr="00FC7F2A">
        <w:t xml:space="preserve">calculated </w:t>
      </w:r>
      <w:r w:rsidRPr="00FC7F2A">
        <w:t xml:space="preserve">using </w:t>
      </w:r>
      <w:r w:rsidR="00DF5656" w:rsidRPr="00FC7F2A">
        <w:t xml:space="preserve">the </w:t>
      </w:r>
      <w:proofErr w:type="spellStart"/>
      <w:r w:rsidRPr="00FC7F2A">
        <w:t>RUSLE2</w:t>
      </w:r>
      <w:proofErr w:type="spellEnd"/>
      <w:r w:rsidRPr="00FC7F2A">
        <w:t xml:space="preserve"> software program available at </w:t>
      </w:r>
      <w:r w:rsidR="00121B08" w:rsidRPr="00F43078">
        <w:t>http://fargo.nserl.purdue.edu/rusle2_dataweb/RUSLE2_</w:t>
      </w:r>
      <w:r w:rsidRPr="00FC7F2A">
        <w:t>Index.htm</w:t>
      </w:r>
      <w:r w:rsidR="00CE549E" w:rsidRPr="00FC7F2A">
        <w:t xml:space="preserve">. </w:t>
      </w:r>
      <w:r w:rsidRPr="00FC7F2A">
        <w:t xml:space="preserve"> </w:t>
      </w:r>
      <w:r w:rsidR="00CE549E" w:rsidRPr="00FC7F2A">
        <w:t xml:space="preserve">Additional information </w:t>
      </w:r>
      <w:r w:rsidR="00497A1F" w:rsidRPr="00FC7F2A">
        <w:t xml:space="preserve">on </w:t>
      </w:r>
      <w:proofErr w:type="spellStart"/>
      <w:r w:rsidR="00704C29" w:rsidRPr="00FC7F2A">
        <w:t>RUSLE2</w:t>
      </w:r>
      <w:proofErr w:type="spellEnd"/>
      <w:r w:rsidR="00704C29" w:rsidRPr="00FC7F2A">
        <w:t xml:space="preserve"> </w:t>
      </w:r>
      <w:r w:rsidR="00CE549E" w:rsidRPr="00FC7F2A">
        <w:t>may be obtained from the United States Department of Agriculture, Agricultur</w:t>
      </w:r>
      <w:r w:rsidR="00583219" w:rsidRPr="00FC7F2A">
        <w:t>al</w:t>
      </w:r>
      <w:r w:rsidR="00CE549E" w:rsidRPr="00FC7F2A">
        <w:t xml:space="preserve"> Research Service</w:t>
      </w:r>
      <w:r w:rsidR="009F3745">
        <w:t>s</w:t>
      </w:r>
      <w:r w:rsidR="00CE549E" w:rsidRPr="00FC7F2A">
        <w:t>, 1400 Independence Avenue, S.W., Washington DC</w:t>
      </w:r>
      <w:r w:rsidR="000D3E3C">
        <w:t xml:space="preserve"> </w:t>
      </w:r>
      <w:r w:rsidR="00CE549E" w:rsidRPr="00FC7F2A">
        <w:t xml:space="preserve"> 20250</w:t>
      </w:r>
      <w:r w:rsidR="001D20D3" w:rsidRPr="00FC7F2A">
        <w:t>,</w:t>
      </w:r>
      <w:r w:rsidR="00CE549E" w:rsidRPr="00FC7F2A">
        <w:t xml:space="preserve"> (202) 720-3656.  </w:t>
      </w:r>
      <w:r w:rsidRPr="00FC7F2A">
        <w:t>Erosion Factor T for Illinois soils is available from the United States Department of Agriculture</w:t>
      </w:r>
      <w:r w:rsidR="001D20D3" w:rsidRPr="00FC7F2A">
        <w:t>,</w:t>
      </w:r>
      <w:r w:rsidRPr="00FC7F2A">
        <w:t xml:space="preserve"> Natural Resources Conservation </w:t>
      </w:r>
      <w:r w:rsidR="00CE549E" w:rsidRPr="00FC7F2A">
        <w:t>Service, Illinois Office, 2118 W. Park</w:t>
      </w:r>
      <w:r w:rsidRPr="00FC7F2A">
        <w:t xml:space="preserve"> </w:t>
      </w:r>
      <w:r w:rsidR="00CE549E" w:rsidRPr="00FC7F2A">
        <w:t>Court, Champaign IL</w:t>
      </w:r>
      <w:r w:rsidR="000D3E3C">
        <w:t xml:space="preserve"> </w:t>
      </w:r>
      <w:r w:rsidR="00CE549E" w:rsidRPr="00FC7F2A">
        <w:t xml:space="preserve"> 61821</w:t>
      </w:r>
      <w:r w:rsidR="001D20D3" w:rsidRPr="00FC7F2A">
        <w:t>,</w:t>
      </w:r>
      <w:r w:rsidR="00CE549E" w:rsidRPr="00FC7F2A">
        <w:t xml:space="preserve"> (217) 353-66</w:t>
      </w:r>
      <w:r w:rsidR="009F3745">
        <w:t>00</w:t>
      </w:r>
      <w:r w:rsidR="00CE549E" w:rsidRPr="00FC7F2A">
        <w:t xml:space="preserve">. The </w:t>
      </w:r>
      <w:r w:rsidRPr="00FC7F2A">
        <w:t xml:space="preserve">published soil surveys </w:t>
      </w:r>
      <w:r w:rsidR="00CE549E" w:rsidRPr="00FC7F2A">
        <w:t xml:space="preserve">for Illinois are available </w:t>
      </w:r>
      <w:r w:rsidRPr="00FC7F2A">
        <w:t>at</w:t>
      </w:r>
      <w:r w:rsidR="00CE549E" w:rsidRPr="00FC7F2A">
        <w:t xml:space="preserve"> http://www.nrcs.usda.gov.</w:t>
      </w:r>
    </w:p>
    <w:p w14:paraId="5FBD7C8B" w14:textId="77777777" w:rsidR="00CE549E" w:rsidRPr="00FC7F2A" w:rsidRDefault="00CE549E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35FC7FA" w14:textId="77777777" w:rsidR="00F55502" w:rsidRPr="001F159B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  <w:rPr>
          <w:bCs/>
        </w:rPr>
      </w:pPr>
      <w:r w:rsidRPr="00FC7F2A">
        <w:t>g)</w:t>
      </w:r>
      <w:r w:rsidRPr="00FC7F2A">
        <w:tab/>
        <w:t>Land application of livestock waste is prohibited on slopes greater than 15%.</w:t>
      </w:r>
    </w:p>
    <w:p w14:paraId="0C876F61" w14:textId="77777777" w:rsidR="00F55502" w:rsidRPr="001F159B" w:rsidRDefault="00F55502" w:rsidP="00F55502">
      <w:pPr>
        <w:widowControl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42C8A080" w14:textId="334716BB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h)</w:t>
      </w:r>
      <w:r w:rsidRPr="00FC7F2A">
        <w:tab/>
        <w:t xml:space="preserve">Liquid livestock waste </w:t>
      </w:r>
      <w:r w:rsidR="008449A8">
        <w:t>must</w:t>
      </w:r>
      <w:r w:rsidRPr="00FC7F2A">
        <w:t xml:space="preserve"> not be applied to land with less than 36 inches of soil covering fractured bedrock, sand</w:t>
      </w:r>
      <w:r w:rsidR="000C067A">
        <w:t>,</w:t>
      </w:r>
      <w:r w:rsidRPr="00FC7F2A">
        <w:t xml:space="preserve"> or gravel.</w:t>
      </w:r>
      <w:r w:rsidR="00CE549E" w:rsidRPr="00FC7F2A">
        <w:t xml:space="preserve">  The depth of soil cover may be determined by using NRCS soil surveys, Illinois State Geological Survey well logs, or soil probes.</w:t>
      </w:r>
    </w:p>
    <w:p w14:paraId="25C2142F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18D2611" w14:textId="493FCC8A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proofErr w:type="spellStart"/>
      <w:r w:rsidRPr="00FC7F2A">
        <w:t>i</w:t>
      </w:r>
      <w:proofErr w:type="spellEnd"/>
      <w:r w:rsidRPr="00FC7F2A">
        <w:t>)</w:t>
      </w:r>
      <w:r w:rsidRPr="00FC7F2A">
        <w:tab/>
        <w:t xml:space="preserve">Livestock waste </w:t>
      </w:r>
      <w:r w:rsidR="008449A8">
        <w:t>must</w:t>
      </w:r>
      <w:r w:rsidRPr="00FC7F2A">
        <w:t xml:space="preserve"> not be applied to bedrock outcrops.</w:t>
      </w:r>
    </w:p>
    <w:p w14:paraId="3EFA2F98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F00B6C2" w14:textId="412BB87C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j)</w:t>
      </w:r>
      <w:r w:rsidRPr="00FC7F2A">
        <w:tab/>
        <w:t xml:space="preserve">Livestock waste </w:t>
      </w:r>
      <w:r w:rsidR="008449A8">
        <w:t>must</w:t>
      </w:r>
      <w:r w:rsidRPr="00FC7F2A">
        <w:t xml:space="preserve"> be applied at no greater than 50 percent of the agronomic nitrogen rate determined </w:t>
      </w:r>
      <w:r w:rsidR="008449A8">
        <w:t>under</w:t>
      </w:r>
      <w:r w:rsidRPr="00FC7F2A">
        <w:t xml:space="preserve"> Section 502.625 when there is less than 60 inches of unconsolidated material over bedrock.</w:t>
      </w:r>
      <w:r w:rsidR="00A23CD7">
        <w:t xml:space="preserve">  The depth of</w:t>
      </w:r>
      <w:r w:rsidR="00F340CE" w:rsidRPr="00FC7F2A">
        <w:t xml:space="preserve"> unconsolidated material may be determined</w:t>
      </w:r>
      <w:r w:rsidR="009F3745">
        <w:t xml:space="preserve"> by</w:t>
      </w:r>
      <w:r w:rsidR="00F340CE" w:rsidRPr="00FC7F2A">
        <w:t xml:space="preserve"> using NRCS surveys, Illinois State Geological Survey w</w:t>
      </w:r>
      <w:r w:rsidR="00246EC7" w:rsidRPr="00FC7F2A">
        <w:t>e</w:t>
      </w:r>
      <w:r w:rsidR="00F340CE" w:rsidRPr="00FC7F2A">
        <w:t>ll logs, or soil probes.</w:t>
      </w:r>
    </w:p>
    <w:p w14:paraId="796FF076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668E3B7" w14:textId="56F1887A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k)</w:t>
      </w:r>
      <w:r w:rsidRPr="00FC7F2A">
        <w:tab/>
        <w:t xml:space="preserve">Livestock waste </w:t>
      </w:r>
      <w:r w:rsidR="002C50F2">
        <w:t>must</w:t>
      </w:r>
      <w:r w:rsidRPr="00FC7F2A">
        <w:t xml:space="preserve"> be applied at no greater than 50 percent of the agronomic nitrogen rate determined </w:t>
      </w:r>
      <w:r w:rsidR="002C50F2">
        <w:t>under</w:t>
      </w:r>
      <w:r w:rsidRPr="00FC7F2A">
        <w:t xml:space="preserve"> Section 502.625 when the minimum soil depth to seasonal </w:t>
      </w:r>
      <w:proofErr w:type="gramStart"/>
      <w:r w:rsidRPr="00FC7F2A">
        <w:t>high water</w:t>
      </w:r>
      <w:proofErr w:type="gramEnd"/>
      <w:r w:rsidRPr="00FC7F2A">
        <w:t xml:space="preserve"> table is less than or equal to 2 feet.</w:t>
      </w:r>
      <w:r w:rsidR="00F340CE" w:rsidRPr="00FC7F2A">
        <w:t xml:space="preserve">  The depth of soil to </w:t>
      </w:r>
      <w:r w:rsidR="000C067A">
        <w:t xml:space="preserve">the </w:t>
      </w:r>
      <w:r w:rsidR="00F340CE" w:rsidRPr="00FC7F2A">
        <w:lastRenderedPageBreak/>
        <w:t xml:space="preserve">seasonal </w:t>
      </w:r>
      <w:proofErr w:type="gramStart"/>
      <w:r w:rsidR="00F340CE" w:rsidRPr="00FC7F2A">
        <w:t>high water</w:t>
      </w:r>
      <w:proofErr w:type="gramEnd"/>
      <w:r w:rsidR="00F340CE" w:rsidRPr="00FC7F2A">
        <w:t xml:space="preserve"> table may be determined</w:t>
      </w:r>
      <w:r w:rsidR="009F3745">
        <w:t xml:space="preserve"> by</w:t>
      </w:r>
      <w:r w:rsidR="00F340CE" w:rsidRPr="00FC7F2A">
        <w:t xml:space="preserve"> using information from NRCS soil surveys, soil probes, and water table levels from Illinois State Geological Survey well log </w:t>
      </w:r>
      <w:r w:rsidR="00246EC7" w:rsidRPr="00FC7F2A">
        <w:t>data</w:t>
      </w:r>
      <w:r w:rsidR="004632DB" w:rsidRPr="00FC7F2A">
        <w:t xml:space="preserve"> </w:t>
      </w:r>
      <w:r w:rsidR="00F340CE" w:rsidRPr="00FC7F2A">
        <w:t xml:space="preserve">or well points. </w:t>
      </w:r>
    </w:p>
    <w:p w14:paraId="10F4BF45" w14:textId="77777777" w:rsidR="00F55502" w:rsidRPr="00FC7F2A" w:rsidRDefault="00F55502" w:rsidP="001F159B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85A811A" w14:textId="0B0D90D5" w:rsidR="00F55502" w:rsidRPr="00FC7F2A" w:rsidRDefault="00F55502" w:rsidP="00F55502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FC7F2A">
        <w:t>l)</w:t>
      </w:r>
      <w:r w:rsidRPr="00FC7F2A">
        <w:tab/>
        <w:t xml:space="preserve">Livestock waste </w:t>
      </w:r>
      <w:r w:rsidR="002C50F2">
        <w:t>mus</w:t>
      </w:r>
      <w:r w:rsidR="003A4580">
        <w:t>t</w:t>
      </w:r>
      <w:r w:rsidRPr="00FC7F2A">
        <w:t xml:space="preserve"> not be applied at rates that exceed the infiltration rates of the soil.</w:t>
      </w:r>
    </w:p>
    <w:p w14:paraId="63177D69" w14:textId="77777777" w:rsidR="000174EB" w:rsidRPr="00FC7F2A" w:rsidRDefault="000174EB" w:rsidP="00DC7214"/>
    <w:p w14:paraId="1733237A" w14:textId="0ECFF5E3" w:rsidR="00F55502" w:rsidRPr="00FC7F2A" w:rsidRDefault="002C50F2" w:rsidP="00421A03">
      <w:pPr>
        <w:ind w:firstLine="720"/>
      </w:pPr>
      <w:r w:rsidRPr="00FD1AD2">
        <w:t>(Source:  Amended at 4</w:t>
      </w:r>
      <w:r w:rsidR="00701CFA">
        <w:t>8</w:t>
      </w:r>
      <w:r w:rsidRPr="00FD1AD2">
        <w:t xml:space="preserve"> Ill. Reg. </w:t>
      </w:r>
      <w:r w:rsidR="008433C3">
        <w:t>3196</w:t>
      </w:r>
      <w:r w:rsidRPr="00FD1AD2">
        <w:t xml:space="preserve">, effective </w:t>
      </w:r>
      <w:r w:rsidR="008433C3">
        <w:t>February 15, 2024</w:t>
      </w:r>
      <w:r w:rsidRPr="00FD1AD2">
        <w:t>)</w:t>
      </w:r>
    </w:p>
    <w:sectPr w:rsidR="00F55502" w:rsidRPr="00FC7F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5BBD" w14:textId="77777777" w:rsidR="000B5723" w:rsidRDefault="000B5723">
      <w:r>
        <w:separator/>
      </w:r>
    </w:p>
  </w:endnote>
  <w:endnote w:type="continuationSeparator" w:id="0">
    <w:p w14:paraId="22A0D1A2" w14:textId="77777777" w:rsidR="000B5723" w:rsidRDefault="000B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BC3D" w14:textId="77777777" w:rsidR="000B5723" w:rsidRDefault="000B5723">
      <w:r>
        <w:separator/>
      </w:r>
    </w:p>
  </w:footnote>
  <w:footnote w:type="continuationSeparator" w:id="0">
    <w:p w14:paraId="6141A944" w14:textId="77777777" w:rsidR="000B5723" w:rsidRDefault="000B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2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723"/>
    <w:rsid w:val="000C067A"/>
    <w:rsid w:val="000C3025"/>
    <w:rsid w:val="000C6D3D"/>
    <w:rsid w:val="000C7A6D"/>
    <w:rsid w:val="000D074F"/>
    <w:rsid w:val="000D167F"/>
    <w:rsid w:val="000D225F"/>
    <w:rsid w:val="000D269B"/>
    <w:rsid w:val="000D3E3C"/>
    <w:rsid w:val="000D62B6"/>
    <w:rsid w:val="000D708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B08"/>
    <w:rsid w:val="0012221A"/>
    <w:rsid w:val="001328A0"/>
    <w:rsid w:val="0014104E"/>
    <w:rsid w:val="001433F3"/>
    <w:rsid w:val="00145C78"/>
    <w:rsid w:val="00146F30"/>
    <w:rsid w:val="00146FFB"/>
    <w:rsid w:val="0015097E"/>
    <w:rsid w:val="001509F1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0D3"/>
    <w:rsid w:val="001D7BEB"/>
    <w:rsid w:val="001E2FC1"/>
    <w:rsid w:val="001E3074"/>
    <w:rsid w:val="001E630C"/>
    <w:rsid w:val="001F159B"/>
    <w:rsid w:val="001F2A01"/>
    <w:rsid w:val="001F572B"/>
    <w:rsid w:val="002015E7"/>
    <w:rsid w:val="002047E2"/>
    <w:rsid w:val="00205A3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EC7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1F6"/>
    <w:rsid w:val="002772A5"/>
    <w:rsid w:val="002800A3"/>
    <w:rsid w:val="0028037A"/>
    <w:rsid w:val="00280FB4"/>
    <w:rsid w:val="00283152"/>
    <w:rsid w:val="00287E3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0F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580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A03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2D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A1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219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7E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1CFA"/>
    <w:rsid w:val="00702A38"/>
    <w:rsid w:val="00704C29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64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08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3C3"/>
    <w:rsid w:val="00843EB6"/>
    <w:rsid w:val="008449A8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88C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25B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745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CD7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0DF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FC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31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25B"/>
    <w:rsid w:val="00C1038A"/>
    <w:rsid w:val="00C11BB7"/>
    <w:rsid w:val="00C12290"/>
    <w:rsid w:val="00C153C4"/>
    <w:rsid w:val="00C15FD6"/>
    <w:rsid w:val="00C17F24"/>
    <w:rsid w:val="00C23852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49E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201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65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D8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A5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0CE"/>
    <w:rsid w:val="00F410DA"/>
    <w:rsid w:val="00F43078"/>
    <w:rsid w:val="00F43DEE"/>
    <w:rsid w:val="00F44D59"/>
    <w:rsid w:val="00F46DB5"/>
    <w:rsid w:val="00F50CD3"/>
    <w:rsid w:val="00F51039"/>
    <w:rsid w:val="00F525F7"/>
    <w:rsid w:val="00F5550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786"/>
    <w:rsid w:val="00FB1274"/>
    <w:rsid w:val="00FB6CE4"/>
    <w:rsid w:val="00FC18E5"/>
    <w:rsid w:val="00FC2BF7"/>
    <w:rsid w:val="00FC3252"/>
    <w:rsid w:val="00FC34CE"/>
    <w:rsid w:val="00FC7A26"/>
    <w:rsid w:val="00FC7F2A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E1348"/>
  <w15:chartTrackingRefBased/>
  <w15:docId w15:val="{64C2757A-91E8-45E0-8AD5-F3522621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50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styleId="Hyperlink">
    <w:name w:val="Hyperlink"/>
    <w:basedOn w:val="DefaultParagraphFont"/>
    <w:unhideWhenUsed/>
    <w:rsid w:val="00205A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2024-02-08T15:51:00Z</dcterms:created>
  <dcterms:modified xsi:type="dcterms:W3CDTF">2024-03-01T16:39:00Z</dcterms:modified>
</cp:coreProperties>
</file>