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8CE7" w14:textId="77777777" w:rsidR="00BB562B" w:rsidRPr="00FD1062" w:rsidRDefault="00BB562B" w:rsidP="00BB562B">
      <w:pPr>
        <w:ind w:left="720" w:hanging="720"/>
        <w:rPr>
          <w:b/>
          <w:color w:val="000000"/>
        </w:rPr>
      </w:pPr>
    </w:p>
    <w:p w14:paraId="57747AA5" w14:textId="77777777" w:rsidR="00BB562B" w:rsidRPr="00FD1062" w:rsidRDefault="00BB562B" w:rsidP="00BB562B">
      <w:pPr>
        <w:ind w:left="720" w:hanging="720"/>
        <w:rPr>
          <w:b/>
          <w:color w:val="000000"/>
        </w:rPr>
      </w:pPr>
      <w:r w:rsidRPr="00FD1062">
        <w:rPr>
          <w:b/>
          <w:color w:val="000000"/>
        </w:rPr>
        <w:t xml:space="preserve">Section </w:t>
      </w:r>
      <w:proofErr w:type="gramStart"/>
      <w:r w:rsidRPr="00FD1062">
        <w:rPr>
          <w:b/>
          <w:color w:val="000000"/>
        </w:rPr>
        <w:t>502.325  Annual</w:t>
      </w:r>
      <w:proofErr w:type="gramEnd"/>
      <w:r w:rsidRPr="00FD1062">
        <w:rPr>
          <w:b/>
          <w:color w:val="000000"/>
        </w:rPr>
        <w:t xml:space="preserve"> Report</w:t>
      </w:r>
    </w:p>
    <w:p w14:paraId="2A91E82E" w14:textId="77777777" w:rsidR="00BB562B" w:rsidRPr="00FD1062" w:rsidRDefault="00BB562B" w:rsidP="00BB562B">
      <w:pPr>
        <w:ind w:left="720" w:hanging="720"/>
        <w:rPr>
          <w:b/>
          <w:color w:val="000000"/>
        </w:rPr>
      </w:pPr>
    </w:p>
    <w:p w14:paraId="3A84F731" w14:textId="77777777" w:rsidR="00BB562B" w:rsidRPr="00FD1062" w:rsidRDefault="00BB562B" w:rsidP="00BB562B">
      <w:pPr>
        <w:ind w:left="1440" w:hanging="720"/>
        <w:rPr>
          <w:color w:val="000000"/>
        </w:rPr>
      </w:pPr>
      <w:r w:rsidRPr="00FD1062">
        <w:rPr>
          <w:color w:val="000000"/>
        </w:rPr>
        <w:t>a)</w:t>
      </w:r>
      <w:r w:rsidRPr="00FD1062">
        <w:rPr>
          <w:color w:val="000000"/>
        </w:rPr>
        <w:tab/>
        <w:t>The NPDES permit must specify annual reporting requirements for the CAFO.  The annual report must be submitted to the Agency.</w:t>
      </w:r>
    </w:p>
    <w:p w14:paraId="1A0BDB69" w14:textId="77777777" w:rsidR="00BB562B" w:rsidRPr="00FD1062" w:rsidRDefault="00BB562B" w:rsidP="00D76B17">
      <w:pPr>
        <w:rPr>
          <w:color w:val="000000"/>
        </w:rPr>
      </w:pPr>
    </w:p>
    <w:p w14:paraId="53ECFEFE" w14:textId="77777777" w:rsidR="00BB562B" w:rsidRPr="00FD1062" w:rsidRDefault="00BB562B" w:rsidP="00BB562B">
      <w:pPr>
        <w:ind w:left="720"/>
        <w:rPr>
          <w:color w:val="000000"/>
        </w:rPr>
      </w:pPr>
      <w:r w:rsidRPr="00FD1062">
        <w:rPr>
          <w:color w:val="000000"/>
        </w:rPr>
        <w:t>b)</w:t>
      </w:r>
      <w:r w:rsidRPr="00FD1062">
        <w:rPr>
          <w:color w:val="000000"/>
        </w:rPr>
        <w:tab/>
        <w:t>The annual report must contain the following minimum elements:</w:t>
      </w:r>
    </w:p>
    <w:p w14:paraId="45FF4AC9" w14:textId="77777777" w:rsidR="00BB562B" w:rsidRPr="00FD1062" w:rsidRDefault="00BB562B" w:rsidP="00D76B17">
      <w:pPr>
        <w:widowControl/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6DE4EC2A" w14:textId="77777777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1)</w:t>
      </w:r>
      <w:r w:rsidRPr="00FD1062">
        <w:tab/>
        <w:t>Maximum number and type of animals, whether in open confinement or housed under roof by the following types: beef cattle, broilers, layers, swine weighing 55 pounds or more, swine weighing less than 55 pounds, mature dairy cows, dairy heifers, veal calves, sheep and lambs, horses, turkeys, ducks, other;</w:t>
      </w:r>
    </w:p>
    <w:p w14:paraId="0244FDB9" w14:textId="77777777" w:rsidR="00BB562B" w:rsidRPr="00FD1062" w:rsidRDefault="00BB562B" w:rsidP="00D76B1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BC65C6E" w14:textId="57BB0800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2)</w:t>
      </w:r>
      <w:r w:rsidRPr="00FD1062">
        <w:tab/>
        <w:t xml:space="preserve">Quantity of livestock waste </w:t>
      </w:r>
      <w:r w:rsidR="00D0450D" w:rsidRPr="00D0450D">
        <w:t xml:space="preserve">the facility </w:t>
      </w:r>
      <w:r w:rsidRPr="00FD1062">
        <w:t>generated in the previous 12 months (tons/gallons);</w:t>
      </w:r>
    </w:p>
    <w:p w14:paraId="73D4A09B" w14:textId="77777777" w:rsidR="00BB562B" w:rsidRPr="00FD1062" w:rsidRDefault="00BB562B" w:rsidP="00D76B1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F225770" w14:textId="3D2ED52C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3)</w:t>
      </w:r>
      <w:r w:rsidRPr="00FD1062">
        <w:tab/>
        <w:t xml:space="preserve">Quantity of livestock waste </w:t>
      </w:r>
      <w:r w:rsidR="00D0450D" w:rsidRPr="00D0450D">
        <w:t xml:space="preserve">the facility </w:t>
      </w:r>
      <w:r w:rsidRPr="00FD1062">
        <w:t>transferred to another person in the previous 12 months (in tons or gallons);</w:t>
      </w:r>
    </w:p>
    <w:p w14:paraId="23814AB7" w14:textId="77777777" w:rsidR="00BB562B" w:rsidRPr="00FD1062" w:rsidRDefault="00BB562B" w:rsidP="00D76B1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21C1EF4" w14:textId="5A063179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4)</w:t>
      </w:r>
      <w:r w:rsidRPr="00FD1062">
        <w:tab/>
        <w:t xml:space="preserve">Total </w:t>
      </w:r>
      <w:r w:rsidR="00D0450D" w:rsidRPr="00D0450D">
        <w:t>acreage</w:t>
      </w:r>
      <w:r w:rsidRPr="00FD1062">
        <w:t xml:space="preserve"> of land application area </w:t>
      </w:r>
      <w:r w:rsidR="00D0450D" w:rsidRPr="00D0450D">
        <w:t>the nutrient management plan covers</w:t>
      </w:r>
      <w:r w:rsidRPr="00FD1062">
        <w:t>;</w:t>
      </w:r>
    </w:p>
    <w:p w14:paraId="7BDC53A0" w14:textId="77777777" w:rsidR="00BB562B" w:rsidRPr="00FD1062" w:rsidRDefault="00BB562B" w:rsidP="00D76B17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E810AEC" w14:textId="5FF71D6D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5)</w:t>
      </w:r>
      <w:r w:rsidRPr="00FD1062">
        <w:tab/>
        <w:t xml:space="preserve">Total </w:t>
      </w:r>
      <w:r w:rsidR="00D0450D" w:rsidRPr="00D0450D">
        <w:t>acreage</w:t>
      </w:r>
      <w:r w:rsidRPr="00FD1062">
        <w:t xml:space="preserve"> the CAFO used for land application of livestock waste in the previous 12 months and </w:t>
      </w:r>
      <w:r w:rsidR="00472BD0">
        <w:t>that was</w:t>
      </w:r>
      <w:r w:rsidRPr="00FD1062">
        <w:t xml:space="preserve"> under the control of the CAFO through ownership, lease, or consent agreement;</w:t>
      </w:r>
    </w:p>
    <w:p w14:paraId="478CEBDB" w14:textId="77777777" w:rsidR="00BB562B" w:rsidRPr="00FD1062" w:rsidRDefault="00BB562B" w:rsidP="00D76B17">
      <w:pPr>
        <w:widowControl/>
        <w:rPr>
          <w:color w:val="000000"/>
        </w:rPr>
      </w:pPr>
    </w:p>
    <w:p w14:paraId="04410E86" w14:textId="2630BAE9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6)</w:t>
      </w:r>
      <w:r w:rsidRPr="00FD1062">
        <w:tab/>
        <w:t>A statement indicating whether the current version of the CAFO</w:t>
      </w:r>
      <w:r w:rsidR="007E442C" w:rsidRPr="00FD1062">
        <w:t>'</w:t>
      </w:r>
      <w:r w:rsidRPr="00FD1062">
        <w:t xml:space="preserve">s nutrient management plan for land application of livestock waste was developed or approved by a certified nutrient management planner and by </w:t>
      </w:r>
      <w:r w:rsidR="00D0450D">
        <w:t xml:space="preserve">who </w:t>
      </w:r>
      <w:r w:rsidR="00D0450D" w:rsidRPr="00D0450D">
        <w:t>issued the certificate</w:t>
      </w:r>
      <w:r w:rsidRPr="00FD1062">
        <w:t>;</w:t>
      </w:r>
    </w:p>
    <w:p w14:paraId="4ED6D59D" w14:textId="77777777" w:rsidR="00BB562B" w:rsidRPr="00FD1062" w:rsidRDefault="00BB562B" w:rsidP="00D76B17">
      <w:pPr>
        <w:tabs>
          <w:tab w:val="left" w:pos="1080"/>
        </w:tabs>
        <w:rPr>
          <w:rFonts w:eastAsia="Arial Unicode MS"/>
          <w:color w:val="000000"/>
        </w:rPr>
      </w:pPr>
    </w:p>
    <w:p w14:paraId="22CDC4F3" w14:textId="77777777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7)</w:t>
      </w:r>
      <w:r w:rsidRPr="00FD1062">
        <w:tab/>
        <w:t xml:space="preserve">Summary of all livestock waste discharges from the production area that have occurred in the previous 12 months, including date, time, and approximate volume; </w:t>
      </w:r>
    </w:p>
    <w:p w14:paraId="4B095ABE" w14:textId="77777777" w:rsidR="00BB562B" w:rsidRPr="00FD1062" w:rsidRDefault="00BB562B" w:rsidP="00D76B17">
      <w:pPr>
        <w:tabs>
          <w:tab w:val="left" w:pos="1080"/>
        </w:tabs>
        <w:rPr>
          <w:rFonts w:eastAsia="Arial Unicode MS"/>
          <w:color w:val="000000"/>
        </w:rPr>
      </w:pPr>
    </w:p>
    <w:p w14:paraId="40EB1B44" w14:textId="367F4E18" w:rsidR="00BB562B" w:rsidRPr="00FD1062" w:rsidRDefault="00BB562B" w:rsidP="00BB562B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FD1062">
        <w:t>8)</w:t>
      </w:r>
      <w:r w:rsidRPr="00FD1062">
        <w:tab/>
        <w:t xml:space="preserve">A report of instances of </w:t>
      </w:r>
      <w:r w:rsidR="00472BD0" w:rsidRPr="00FD1062">
        <w:t>noncompliance</w:t>
      </w:r>
      <w:r w:rsidRPr="00FD1062">
        <w:t xml:space="preserve"> with the NPDES permit in the previous 12 months;</w:t>
      </w:r>
    </w:p>
    <w:p w14:paraId="1681DD4B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0F1334B4" w14:textId="77777777" w:rsidR="00BB562B" w:rsidRPr="00FD1062" w:rsidRDefault="00BB562B" w:rsidP="00BB562B">
      <w:pPr>
        <w:ind w:left="2160" w:hanging="720"/>
        <w:rPr>
          <w:rFonts w:eastAsia="Arial Unicode MS"/>
          <w:color w:val="000000"/>
        </w:rPr>
      </w:pPr>
      <w:r w:rsidRPr="00FD1062">
        <w:rPr>
          <w:rFonts w:eastAsia="Arial Unicode MS"/>
          <w:color w:val="000000"/>
        </w:rPr>
        <w:t>9)</w:t>
      </w:r>
      <w:r w:rsidRPr="00FD1062">
        <w:rPr>
          <w:rFonts w:eastAsia="Arial Unicode MS"/>
          <w:color w:val="000000"/>
        </w:rPr>
        <w:tab/>
        <w:t>The actual crops planted and actual yields for each field;</w:t>
      </w:r>
    </w:p>
    <w:p w14:paraId="6ED9A88B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2F23BD74" w14:textId="77777777" w:rsidR="00BB562B" w:rsidRPr="00FD1062" w:rsidRDefault="00BB562B" w:rsidP="00D76B17">
      <w:pPr>
        <w:ind w:left="2160" w:hanging="810"/>
        <w:rPr>
          <w:rFonts w:eastAsia="Arial Unicode MS"/>
          <w:color w:val="000000"/>
        </w:rPr>
      </w:pPr>
      <w:r w:rsidRPr="00FD1062">
        <w:rPr>
          <w:rFonts w:eastAsia="Arial Unicode MS"/>
          <w:color w:val="000000"/>
        </w:rPr>
        <w:t>10)</w:t>
      </w:r>
      <w:r w:rsidRPr="00FD1062">
        <w:rPr>
          <w:rFonts w:eastAsia="Arial Unicode MS"/>
          <w:color w:val="000000"/>
        </w:rPr>
        <w:tab/>
        <w:t>The actual nitrogen and phosphorus content of the livestock waste;</w:t>
      </w:r>
    </w:p>
    <w:p w14:paraId="0927E6C8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5ACD3FC0" w14:textId="4CE3B334" w:rsidR="00BB562B" w:rsidRPr="00FD1062" w:rsidRDefault="00BB562B" w:rsidP="00D76B17">
      <w:pPr>
        <w:ind w:left="2160" w:hanging="810"/>
        <w:rPr>
          <w:rFonts w:eastAsia="Arial Unicode MS"/>
          <w:color w:val="000000"/>
        </w:rPr>
      </w:pPr>
      <w:r w:rsidRPr="00FD1062">
        <w:rPr>
          <w:rFonts w:eastAsia="Arial Unicode MS"/>
          <w:color w:val="000000"/>
        </w:rPr>
        <w:t>11)</w:t>
      </w:r>
      <w:r w:rsidRPr="00FD1062">
        <w:rPr>
          <w:rFonts w:eastAsia="Arial Unicode MS"/>
          <w:color w:val="000000"/>
        </w:rPr>
        <w:tab/>
        <w:t xml:space="preserve">The results of calculations conducted </w:t>
      </w:r>
      <w:r w:rsidR="00472BD0">
        <w:rPr>
          <w:rFonts w:eastAsia="Arial Unicode MS"/>
          <w:color w:val="000000"/>
        </w:rPr>
        <w:t>under</w:t>
      </w:r>
      <w:r w:rsidRPr="00FD1062">
        <w:rPr>
          <w:rFonts w:eastAsia="Arial Unicode MS"/>
          <w:color w:val="000000"/>
        </w:rPr>
        <w:t xml:space="preserve"> Section 502.515(d)(3) and (e)(3);</w:t>
      </w:r>
    </w:p>
    <w:p w14:paraId="0F139254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7CE1515E" w14:textId="77777777" w:rsidR="00BB562B" w:rsidRPr="00FD1062" w:rsidRDefault="00BB562B" w:rsidP="00D76B17">
      <w:pPr>
        <w:ind w:left="2160" w:hanging="810"/>
        <w:rPr>
          <w:rFonts w:eastAsia="Arial Unicode MS"/>
          <w:color w:val="000000"/>
        </w:rPr>
      </w:pPr>
      <w:r w:rsidRPr="00FD1062">
        <w:rPr>
          <w:rFonts w:eastAsia="Arial Unicode MS"/>
          <w:color w:val="000000"/>
        </w:rPr>
        <w:lastRenderedPageBreak/>
        <w:t>12)</w:t>
      </w:r>
      <w:r w:rsidRPr="00FD1062">
        <w:rPr>
          <w:rFonts w:eastAsia="Arial Unicode MS"/>
          <w:color w:val="000000"/>
        </w:rPr>
        <w:tab/>
        <w:t>The amount of livestock waste land applied to each field during the previous 12 months;</w:t>
      </w:r>
    </w:p>
    <w:p w14:paraId="6AFB6D78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4AA38B34" w14:textId="090BB551" w:rsidR="00BB562B" w:rsidRPr="00FD1062" w:rsidRDefault="00BB562B" w:rsidP="00D76B17">
      <w:pPr>
        <w:ind w:left="2160" w:hanging="810"/>
        <w:rPr>
          <w:rFonts w:eastAsia="Arial Unicode MS"/>
          <w:color w:val="000000"/>
        </w:rPr>
      </w:pPr>
      <w:r w:rsidRPr="00FD1062">
        <w:rPr>
          <w:rFonts w:eastAsia="Arial Unicode MS"/>
          <w:color w:val="000000"/>
        </w:rPr>
        <w:t>13)</w:t>
      </w:r>
      <w:r w:rsidRPr="00FD1062">
        <w:rPr>
          <w:rFonts w:eastAsia="Arial Unicode MS"/>
          <w:color w:val="000000"/>
        </w:rPr>
        <w:tab/>
        <w:t xml:space="preserve">For any CAFO that implements a nutrient management plan that addresses </w:t>
      </w:r>
      <w:r w:rsidR="00D0450D">
        <w:rPr>
          <w:rFonts w:eastAsia="Arial Unicode MS"/>
          <w:color w:val="000000"/>
        </w:rPr>
        <w:t xml:space="preserve">application </w:t>
      </w:r>
      <w:r w:rsidRPr="00FD1062">
        <w:rPr>
          <w:rFonts w:eastAsia="Arial Unicode MS"/>
          <w:color w:val="000000"/>
        </w:rPr>
        <w:t xml:space="preserve">rates </w:t>
      </w:r>
      <w:r w:rsidR="00472BD0">
        <w:rPr>
          <w:rFonts w:eastAsia="Arial Unicode MS"/>
          <w:color w:val="000000"/>
        </w:rPr>
        <w:t>under</w:t>
      </w:r>
      <w:r w:rsidRPr="00FD1062">
        <w:rPr>
          <w:rFonts w:eastAsia="Arial Unicode MS"/>
          <w:color w:val="000000"/>
        </w:rPr>
        <w:t xml:space="preserve"> Section 502.515(e):</w:t>
      </w:r>
    </w:p>
    <w:p w14:paraId="7F203868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1220EAEA" w14:textId="2137949B" w:rsidR="00BB562B" w:rsidRPr="00FD1062" w:rsidRDefault="007E19FA" w:rsidP="007E19FA">
      <w:pPr>
        <w:ind w:left="2880" w:hanging="72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</w:t>
      </w:r>
      <w:r w:rsidR="00BB562B" w:rsidRPr="00FD1062">
        <w:rPr>
          <w:rFonts w:eastAsia="Arial Unicode MS"/>
          <w:color w:val="000000"/>
        </w:rPr>
        <w:t>)</w:t>
      </w:r>
      <w:r w:rsidR="00BB562B" w:rsidRPr="00FD1062">
        <w:rPr>
          <w:rFonts w:eastAsia="Arial Unicode MS"/>
          <w:color w:val="000000"/>
        </w:rPr>
        <w:tab/>
        <w:t>the results of any soil testing for nitrogen and phosphorus taken during the preceding 12 months</w:t>
      </w:r>
      <w:r w:rsidR="007E442C" w:rsidRPr="00FD1062">
        <w:rPr>
          <w:rFonts w:eastAsia="Arial Unicode MS"/>
          <w:color w:val="000000"/>
        </w:rPr>
        <w:t>;</w:t>
      </w:r>
    </w:p>
    <w:p w14:paraId="13E0D3AD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33253DF5" w14:textId="6136E243" w:rsidR="00BB562B" w:rsidRPr="00FD1062" w:rsidRDefault="007E19FA" w:rsidP="007E19FA">
      <w:pPr>
        <w:ind w:left="2880" w:hanging="72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B</w:t>
      </w:r>
      <w:r w:rsidR="00BB562B" w:rsidRPr="00FD1062">
        <w:rPr>
          <w:rFonts w:eastAsia="Arial Unicode MS"/>
          <w:color w:val="000000"/>
        </w:rPr>
        <w:t>)</w:t>
      </w:r>
      <w:r w:rsidR="00BB562B" w:rsidRPr="00FD1062">
        <w:rPr>
          <w:rFonts w:eastAsia="Arial Unicode MS"/>
          <w:color w:val="000000"/>
        </w:rPr>
        <w:tab/>
        <w:t xml:space="preserve">data used </w:t>
      </w:r>
      <w:r w:rsidR="00D0450D" w:rsidRPr="00D0450D">
        <w:rPr>
          <w:rFonts w:eastAsia="Arial Unicode MS"/>
          <w:color w:val="000000"/>
        </w:rPr>
        <w:t>to calculate</w:t>
      </w:r>
      <w:r w:rsidR="00472BD0">
        <w:rPr>
          <w:rFonts w:eastAsia="Arial Unicode MS"/>
          <w:color w:val="000000"/>
        </w:rPr>
        <w:t xml:space="preserve"> under</w:t>
      </w:r>
      <w:r w:rsidR="00BB562B" w:rsidRPr="00FD1062">
        <w:rPr>
          <w:rFonts w:eastAsia="Arial Unicode MS"/>
          <w:color w:val="000000"/>
        </w:rPr>
        <w:t xml:space="preserve"> Section 502.515(e)(3)</w:t>
      </w:r>
      <w:r w:rsidR="00F84B6F">
        <w:rPr>
          <w:rFonts w:eastAsia="Arial Unicode MS"/>
          <w:color w:val="000000"/>
        </w:rPr>
        <w:t>,</w:t>
      </w:r>
      <w:r w:rsidR="00BB562B" w:rsidRPr="00FD1062">
        <w:rPr>
          <w:rFonts w:eastAsia="Arial Unicode MS"/>
          <w:color w:val="000000"/>
        </w:rPr>
        <w:t xml:space="preserve"> and </w:t>
      </w:r>
    </w:p>
    <w:p w14:paraId="36C6BCFE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014D1FB7" w14:textId="11931EED" w:rsidR="00BB562B" w:rsidRPr="00FD1062" w:rsidRDefault="007E19FA" w:rsidP="007E19FA">
      <w:pPr>
        <w:ind w:left="2880" w:hanging="72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C</w:t>
      </w:r>
      <w:r w:rsidR="00BB562B" w:rsidRPr="00FD1062">
        <w:rPr>
          <w:rFonts w:eastAsia="Arial Unicode MS"/>
          <w:color w:val="000000"/>
        </w:rPr>
        <w:t>)</w:t>
      </w:r>
      <w:r w:rsidR="00BB562B" w:rsidRPr="00FD1062">
        <w:rPr>
          <w:rFonts w:eastAsia="Arial Unicode MS"/>
          <w:color w:val="000000"/>
        </w:rPr>
        <w:tab/>
        <w:t>the amount of any supplemental fertilizer applied during the previous 12 months; and</w:t>
      </w:r>
    </w:p>
    <w:p w14:paraId="06C64EE1" w14:textId="77777777" w:rsidR="00BB562B" w:rsidRPr="00FD1062" w:rsidRDefault="00BB562B" w:rsidP="00D76B17">
      <w:pPr>
        <w:tabs>
          <w:tab w:val="left" w:pos="1584"/>
        </w:tabs>
        <w:rPr>
          <w:rFonts w:eastAsia="Arial Unicode MS"/>
          <w:color w:val="000000"/>
        </w:rPr>
      </w:pPr>
    </w:p>
    <w:p w14:paraId="00CCC557" w14:textId="541623DE" w:rsidR="00BB562B" w:rsidRPr="00FD1062" w:rsidRDefault="00BB562B" w:rsidP="00D76B17">
      <w:pPr>
        <w:ind w:left="2160" w:hanging="810"/>
        <w:rPr>
          <w:rFonts w:eastAsia="Arial Unicode MS"/>
          <w:color w:val="000000"/>
        </w:rPr>
      </w:pPr>
      <w:r w:rsidRPr="00FD1062">
        <w:rPr>
          <w:rFonts w:eastAsia="Arial Unicode MS"/>
          <w:color w:val="000000"/>
        </w:rPr>
        <w:t>14)</w:t>
      </w:r>
      <w:r w:rsidRPr="00FD1062">
        <w:rPr>
          <w:rFonts w:eastAsia="Arial Unicode MS"/>
          <w:color w:val="000000"/>
        </w:rPr>
        <w:tab/>
        <w:t>A</w:t>
      </w:r>
      <w:r w:rsidRPr="00FD1062">
        <w:rPr>
          <w:rFonts w:eastAsia="Arial Unicode MS"/>
        </w:rPr>
        <w:t>nnual review of the nutrient management practices to be implemented and an update of the nutrient management plan when the nutrient management practices</w:t>
      </w:r>
      <w:r w:rsidR="00E87431">
        <w:rPr>
          <w:rFonts w:eastAsia="Arial Unicode MS"/>
        </w:rPr>
        <w:t xml:space="preserve"> change</w:t>
      </w:r>
      <w:r w:rsidRPr="00FD1062">
        <w:rPr>
          <w:rFonts w:eastAsia="Arial Unicode MS"/>
        </w:rPr>
        <w:t>.</w:t>
      </w:r>
    </w:p>
    <w:p w14:paraId="4ABB510A" w14:textId="77777777" w:rsidR="000174EB" w:rsidRPr="00FD1062" w:rsidRDefault="000174EB" w:rsidP="00BB562B"/>
    <w:p w14:paraId="0F20D832" w14:textId="2EB4AAED" w:rsidR="00BB562B" w:rsidRPr="00FD1062" w:rsidRDefault="00E87431" w:rsidP="00B15B15">
      <w:pPr>
        <w:ind w:firstLine="720"/>
      </w:pPr>
      <w:r w:rsidRPr="00FD1AD2">
        <w:t>(Source:  Amended at 4</w:t>
      </w:r>
      <w:r w:rsidR="00CC741E">
        <w:t>8</w:t>
      </w:r>
      <w:r w:rsidRPr="00FD1AD2">
        <w:t xml:space="preserve"> Ill. Reg. </w:t>
      </w:r>
      <w:r w:rsidR="00A84685">
        <w:t>3196</w:t>
      </w:r>
      <w:r w:rsidRPr="00FD1AD2">
        <w:t xml:space="preserve">, effective </w:t>
      </w:r>
      <w:r w:rsidR="00A84685">
        <w:t>February 15, 2024</w:t>
      </w:r>
      <w:r w:rsidRPr="00FD1AD2">
        <w:t>)</w:t>
      </w:r>
    </w:p>
    <w:sectPr w:rsidR="00BB562B" w:rsidRPr="00FD10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EB6D" w14:textId="77777777" w:rsidR="002C5A37" w:rsidRDefault="002C5A37">
      <w:r>
        <w:separator/>
      </w:r>
    </w:p>
  </w:endnote>
  <w:endnote w:type="continuationSeparator" w:id="0">
    <w:p w14:paraId="3DED1BB9" w14:textId="77777777" w:rsidR="002C5A37" w:rsidRDefault="002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BE8B" w14:textId="77777777" w:rsidR="002C5A37" w:rsidRDefault="002C5A37">
      <w:r>
        <w:separator/>
      </w:r>
    </w:p>
  </w:footnote>
  <w:footnote w:type="continuationSeparator" w:id="0">
    <w:p w14:paraId="69D33A35" w14:textId="77777777" w:rsidR="002C5A37" w:rsidRDefault="002C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3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73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A37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170"/>
    <w:rsid w:val="00461E78"/>
    <w:rsid w:val="0046272D"/>
    <w:rsid w:val="0047017E"/>
    <w:rsid w:val="00471A17"/>
    <w:rsid w:val="004724DC"/>
    <w:rsid w:val="00472BD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257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19FA"/>
    <w:rsid w:val="007E442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53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F13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644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68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B15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62B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B79"/>
    <w:rsid w:val="00CB065C"/>
    <w:rsid w:val="00CB1C46"/>
    <w:rsid w:val="00CB3DC9"/>
    <w:rsid w:val="00CC13F9"/>
    <w:rsid w:val="00CC4FF8"/>
    <w:rsid w:val="00CC741E"/>
    <w:rsid w:val="00CD3723"/>
    <w:rsid w:val="00CD5413"/>
    <w:rsid w:val="00CE01BF"/>
    <w:rsid w:val="00CE4292"/>
    <w:rsid w:val="00CE6CBE"/>
    <w:rsid w:val="00CF0FC7"/>
    <w:rsid w:val="00D03A79"/>
    <w:rsid w:val="00D0450D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17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431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B6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062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0C1D0"/>
  <w15:chartTrackingRefBased/>
  <w15:docId w15:val="{D35B7C9D-E667-4090-8902-C102794A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62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2024-02-08T15:50:00Z</dcterms:created>
  <dcterms:modified xsi:type="dcterms:W3CDTF">2024-03-01T16:30:00Z</dcterms:modified>
</cp:coreProperties>
</file>