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C8A9" w14:textId="77777777" w:rsidR="005C1C76" w:rsidRPr="006A3352" w:rsidRDefault="005C1C76" w:rsidP="005C1C76">
      <w:pPr>
        <w:widowControl w:val="0"/>
        <w:autoSpaceDE w:val="0"/>
        <w:autoSpaceDN w:val="0"/>
        <w:adjustRightInd w:val="0"/>
      </w:pPr>
    </w:p>
    <w:p w14:paraId="4804E3FF" w14:textId="77777777" w:rsidR="005C1C76" w:rsidRPr="006A3352" w:rsidRDefault="005C1C76" w:rsidP="005C1C76">
      <w:pPr>
        <w:widowControl w:val="0"/>
        <w:autoSpaceDE w:val="0"/>
        <w:autoSpaceDN w:val="0"/>
        <w:adjustRightInd w:val="0"/>
      </w:pPr>
      <w:r w:rsidRPr="006A3352">
        <w:rPr>
          <w:b/>
          <w:bCs/>
        </w:rPr>
        <w:t xml:space="preserve">Section </w:t>
      </w:r>
      <w:proofErr w:type="gramStart"/>
      <w:r w:rsidRPr="006A3352">
        <w:rPr>
          <w:b/>
          <w:bCs/>
        </w:rPr>
        <w:t>502.101  NPDES</w:t>
      </w:r>
      <w:proofErr w:type="gramEnd"/>
      <w:r w:rsidRPr="006A3352">
        <w:rPr>
          <w:b/>
          <w:bCs/>
        </w:rPr>
        <w:t xml:space="preserve"> Permit</w:t>
      </w:r>
      <w:r w:rsidRPr="006A3352">
        <w:t xml:space="preserve"> </w:t>
      </w:r>
      <w:r w:rsidR="003E5B3A" w:rsidRPr="006A3352">
        <w:rPr>
          <w:b/>
        </w:rPr>
        <w:t>Requirement and Duty to Maintain Permit Coverage</w:t>
      </w:r>
    </w:p>
    <w:p w14:paraId="7EAB76FD" w14:textId="77777777" w:rsidR="005C1C76" w:rsidRPr="006A3352" w:rsidRDefault="005C1C76" w:rsidP="005C1C76">
      <w:pPr>
        <w:widowControl w:val="0"/>
        <w:autoSpaceDE w:val="0"/>
        <w:autoSpaceDN w:val="0"/>
        <w:adjustRightInd w:val="0"/>
      </w:pPr>
    </w:p>
    <w:p w14:paraId="1300C172" w14:textId="5F51C9F1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a)</w:t>
      </w:r>
      <w:r w:rsidRPr="006A3352">
        <w:rPr>
          <w:color w:val="000000"/>
        </w:rPr>
        <w:tab/>
        <w:t xml:space="preserve">A </w:t>
      </w:r>
      <w:r w:rsidR="00721960" w:rsidRPr="006A3352">
        <w:rPr>
          <w:color w:val="000000"/>
        </w:rPr>
        <w:t>Concentrated A</w:t>
      </w:r>
      <w:r w:rsidR="00CA37AB" w:rsidRPr="006A3352">
        <w:rPr>
          <w:color w:val="000000"/>
        </w:rPr>
        <w:t xml:space="preserve">nimal </w:t>
      </w:r>
      <w:r w:rsidR="00721960" w:rsidRPr="006A3352">
        <w:rPr>
          <w:color w:val="000000"/>
        </w:rPr>
        <w:t>F</w:t>
      </w:r>
      <w:r w:rsidR="00CA37AB" w:rsidRPr="006A3352">
        <w:rPr>
          <w:color w:val="000000"/>
        </w:rPr>
        <w:t>ee</w:t>
      </w:r>
      <w:r w:rsidR="004D7A63" w:rsidRPr="006A3352">
        <w:rPr>
          <w:color w:val="000000"/>
        </w:rPr>
        <w:t xml:space="preserve">ding </w:t>
      </w:r>
      <w:r w:rsidR="00721960" w:rsidRPr="006A3352">
        <w:rPr>
          <w:color w:val="000000"/>
        </w:rPr>
        <w:t>O</w:t>
      </w:r>
      <w:r w:rsidR="004D7A63" w:rsidRPr="006A3352">
        <w:rPr>
          <w:color w:val="000000"/>
        </w:rPr>
        <w:t>peration (</w:t>
      </w:r>
      <w:r w:rsidRPr="006A3352">
        <w:rPr>
          <w:color w:val="000000"/>
        </w:rPr>
        <w:t>CAFO</w:t>
      </w:r>
      <w:r w:rsidR="004D7A63" w:rsidRPr="006A3352">
        <w:rPr>
          <w:color w:val="000000"/>
        </w:rPr>
        <w:t>)</w:t>
      </w:r>
      <w:r w:rsidRPr="006A3352">
        <w:rPr>
          <w:color w:val="000000"/>
        </w:rPr>
        <w:t xml:space="preserve"> is a point source.  Any discharge of pollutants into </w:t>
      </w:r>
      <w:r w:rsidR="00087BB9">
        <w:rPr>
          <w:color w:val="000000"/>
        </w:rPr>
        <w:t xml:space="preserve">the </w:t>
      </w:r>
      <w:r w:rsidRPr="006A3352">
        <w:rPr>
          <w:color w:val="000000"/>
        </w:rPr>
        <w:t xml:space="preserve">waters of the United States from a CAFO is prohibited unless authorized by an NPDES permit or unless the discharge is an agricultural stormwater discharge as described in Section 502.102(b).  </w:t>
      </w:r>
      <w:r w:rsidR="00087BB9">
        <w:rPr>
          <w:color w:val="000000"/>
        </w:rPr>
        <w:t>A</w:t>
      </w:r>
      <w:r w:rsidRPr="006A3352">
        <w:rPr>
          <w:color w:val="000000"/>
        </w:rPr>
        <w:t xml:space="preserve"> person </w:t>
      </w:r>
      <w:r w:rsidR="00087BB9">
        <w:rPr>
          <w:color w:val="000000"/>
        </w:rPr>
        <w:t>must not</w:t>
      </w:r>
      <w:r w:rsidRPr="006A3352">
        <w:rPr>
          <w:color w:val="000000"/>
        </w:rPr>
        <w:t xml:space="preserve"> cause or allow a discharge from a CAFO </w:t>
      </w:r>
      <w:r w:rsidR="00087BB9">
        <w:rPr>
          <w:color w:val="000000"/>
        </w:rPr>
        <w:t xml:space="preserve">that </w:t>
      </w:r>
      <w:r w:rsidR="0044630D" w:rsidRPr="00BC6C6B">
        <w:rPr>
          <w:color w:val="000000"/>
        </w:rPr>
        <w:t>violate</w:t>
      </w:r>
      <w:r w:rsidR="00087BB9">
        <w:rPr>
          <w:color w:val="000000"/>
        </w:rPr>
        <w:t>s</w:t>
      </w:r>
      <w:r w:rsidRPr="006A3352">
        <w:rPr>
          <w:color w:val="000000"/>
        </w:rPr>
        <w:t xml:space="preserve"> federal or </w:t>
      </w:r>
      <w:r w:rsidR="00D03991" w:rsidRPr="006A3352">
        <w:rPr>
          <w:color w:val="000000"/>
        </w:rPr>
        <w:t>S</w:t>
      </w:r>
      <w:r w:rsidRPr="006A3352">
        <w:rPr>
          <w:color w:val="000000"/>
        </w:rPr>
        <w:t xml:space="preserve">tate law, including the </w:t>
      </w:r>
      <w:r w:rsidR="004D7A63" w:rsidRPr="006A3352">
        <w:rPr>
          <w:color w:val="000000"/>
        </w:rPr>
        <w:t>Clean Water Act (</w:t>
      </w:r>
      <w:r w:rsidRPr="006A3352">
        <w:rPr>
          <w:color w:val="000000"/>
        </w:rPr>
        <w:t>CWA</w:t>
      </w:r>
      <w:r w:rsidR="004D7A63" w:rsidRPr="006A3352">
        <w:rPr>
          <w:color w:val="000000"/>
        </w:rPr>
        <w:t xml:space="preserve">) (33 </w:t>
      </w:r>
      <w:r w:rsidR="00AA4B23">
        <w:rPr>
          <w:color w:val="000000"/>
        </w:rPr>
        <w:t>U.S.C.</w:t>
      </w:r>
      <w:r w:rsidR="004D7A63" w:rsidRPr="006A3352">
        <w:rPr>
          <w:color w:val="000000"/>
        </w:rPr>
        <w:t xml:space="preserve"> 1251)</w:t>
      </w:r>
      <w:r w:rsidRPr="006A3352">
        <w:rPr>
          <w:color w:val="000000"/>
        </w:rPr>
        <w:t>, the Act</w:t>
      </w:r>
      <w:r w:rsidR="00087BB9">
        <w:rPr>
          <w:color w:val="000000"/>
        </w:rPr>
        <w:t>,</w:t>
      </w:r>
      <w:r w:rsidRPr="006A3352">
        <w:rPr>
          <w:color w:val="000000"/>
        </w:rPr>
        <w:t xml:space="preserve"> or Board </w:t>
      </w:r>
      <w:r w:rsidR="00087BB9">
        <w:rPr>
          <w:color w:val="000000"/>
        </w:rPr>
        <w:t>rules</w:t>
      </w:r>
      <w:r w:rsidR="00CE6167" w:rsidRPr="006A3352">
        <w:rPr>
          <w:color w:val="000000"/>
        </w:rPr>
        <w:t>.</w:t>
      </w:r>
    </w:p>
    <w:p w14:paraId="1F09FDDF" w14:textId="77777777" w:rsidR="003E5B3A" w:rsidRPr="006A3352" w:rsidRDefault="003E5B3A" w:rsidP="0024416A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5D5D041D" w14:textId="77777777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b)</w:t>
      </w:r>
      <w:r w:rsidRPr="006A3352">
        <w:rPr>
          <w:color w:val="000000"/>
        </w:rPr>
        <w:tab/>
        <w:t>The owner or operator of a CAFO must seek coverage under an NPDES permit if the CAFO discharges.</w:t>
      </w:r>
    </w:p>
    <w:p w14:paraId="5473BDE7" w14:textId="77777777" w:rsidR="003E5B3A" w:rsidRPr="006A3352" w:rsidRDefault="003E5B3A" w:rsidP="0024416A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774919EF" w14:textId="70F490F2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c)</w:t>
      </w:r>
      <w:r w:rsidRPr="006A3352">
        <w:rPr>
          <w:color w:val="000000"/>
        </w:rPr>
        <w:tab/>
        <w:t xml:space="preserve">The owner or operator of a CAFO that discharges must either apply for an individual NPDES permit or submit a notice of intent for coverage under an NPDES general permit.  If the </w:t>
      </w:r>
      <w:r w:rsidR="00D03991" w:rsidRPr="006A3352">
        <w:rPr>
          <w:color w:val="000000"/>
        </w:rPr>
        <w:t xml:space="preserve">Agency has not made a general permit available to </w:t>
      </w:r>
      <w:r w:rsidR="00867A5B" w:rsidRPr="006A3352">
        <w:rPr>
          <w:color w:val="000000"/>
        </w:rPr>
        <w:t xml:space="preserve">the </w:t>
      </w:r>
      <w:r w:rsidRPr="006A3352">
        <w:rPr>
          <w:color w:val="000000"/>
        </w:rPr>
        <w:t xml:space="preserve">CAFO, the CAFO owner or operator must </w:t>
      </w:r>
      <w:r w:rsidR="00FE5A0A">
        <w:rPr>
          <w:color w:val="000000"/>
        </w:rPr>
        <w:t>apply</w:t>
      </w:r>
      <w:r w:rsidRPr="006A3352">
        <w:rPr>
          <w:color w:val="000000"/>
        </w:rPr>
        <w:t xml:space="preserve"> for an individual permit to the Agency.  All permit applications and applications for permit modifications must contain the information </w:t>
      </w:r>
      <w:r w:rsidR="00FE5A0A">
        <w:rPr>
          <w:color w:val="000000"/>
        </w:rPr>
        <w:t>stated</w:t>
      </w:r>
      <w:r w:rsidRPr="006A3352">
        <w:rPr>
          <w:color w:val="000000"/>
        </w:rPr>
        <w:t xml:space="preserve"> in Subpart B.</w:t>
      </w:r>
    </w:p>
    <w:p w14:paraId="4A74EFEB" w14:textId="77777777" w:rsidR="003E5B3A" w:rsidRPr="006A3352" w:rsidRDefault="003E5B3A" w:rsidP="0024416A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0324DB39" w14:textId="7B8F12C9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d)</w:t>
      </w:r>
      <w:r w:rsidRPr="006A3352">
        <w:rPr>
          <w:color w:val="000000"/>
        </w:rPr>
        <w:tab/>
        <w:t xml:space="preserve">Any permitted CAFO </w:t>
      </w:r>
      <w:r w:rsidR="00FE5A0A">
        <w:rPr>
          <w:color w:val="000000"/>
        </w:rPr>
        <w:t>must</w:t>
      </w:r>
      <w:r w:rsidRPr="006A3352">
        <w:rPr>
          <w:color w:val="000000"/>
        </w:rPr>
        <w:t xml:space="preserve"> apply for reissuance of the NPDES permit </w:t>
      </w:r>
      <w:r w:rsidR="00FE5A0A" w:rsidRPr="00FE5A0A">
        <w:rPr>
          <w:color w:val="000000"/>
        </w:rPr>
        <w:t xml:space="preserve">at least </w:t>
      </w:r>
      <w:r w:rsidRPr="006A3352">
        <w:rPr>
          <w:color w:val="000000"/>
        </w:rPr>
        <w:t xml:space="preserve">180 days </w:t>
      </w:r>
      <w:r w:rsidR="00FE5A0A" w:rsidRPr="00FE5A0A">
        <w:rPr>
          <w:color w:val="000000"/>
        </w:rPr>
        <w:t>before the NPDES</w:t>
      </w:r>
      <w:r w:rsidR="00FE5A0A">
        <w:rPr>
          <w:color w:val="000000"/>
        </w:rPr>
        <w:t xml:space="preserve"> permit expire</w:t>
      </w:r>
      <w:r w:rsidR="00BC6C6B">
        <w:rPr>
          <w:color w:val="000000"/>
        </w:rPr>
        <w:t>s</w:t>
      </w:r>
      <w:r w:rsidRPr="006A3352">
        <w:rPr>
          <w:color w:val="000000"/>
        </w:rPr>
        <w:t xml:space="preserve"> unless the CAFO will not discharge after </w:t>
      </w:r>
      <w:r w:rsidR="00BC6C6B">
        <w:rPr>
          <w:color w:val="000000"/>
        </w:rPr>
        <w:t>t</w:t>
      </w:r>
      <w:r w:rsidR="00BC6C6B" w:rsidRPr="00BC6C6B">
        <w:rPr>
          <w:color w:val="000000"/>
        </w:rPr>
        <w:t>he NPDES permit expires</w:t>
      </w:r>
      <w:r w:rsidRPr="006A3352">
        <w:rPr>
          <w:color w:val="000000"/>
        </w:rPr>
        <w:t>.</w:t>
      </w:r>
    </w:p>
    <w:p w14:paraId="37FACCCF" w14:textId="77777777" w:rsidR="003E5B3A" w:rsidRPr="006A3352" w:rsidRDefault="003E5B3A" w:rsidP="003E5B3A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2B8FF666" w14:textId="6F5DDF74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e)</w:t>
      </w:r>
      <w:r w:rsidRPr="006A3352">
        <w:rPr>
          <w:color w:val="000000"/>
        </w:rPr>
        <w:tab/>
        <w:t xml:space="preserve">The owner or operator of a new CAFO that will discharge must apply for NPDES permit coverage at least 180 days </w:t>
      </w:r>
      <w:r w:rsidR="00BC6C6B">
        <w:rPr>
          <w:color w:val="000000"/>
        </w:rPr>
        <w:t>before</w:t>
      </w:r>
      <w:r w:rsidRPr="006A3352">
        <w:rPr>
          <w:color w:val="000000"/>
        </w:rPr>
        <w:t xml:space="preserve"> the time that the CAFO </w:t>
      </w:r>
      <w:r w:rsidR="00BC6C6B">
        <w:rPr>
          <w:color w:val="000000"/>
        </w:rPr>
        <w:t>begins</w:t>
      </w:r>
      <w:r w:rsidRPr="006A3352">
        <w:rPr>
          <w:color w:val="000000"/>
        </w:rPr>
        <w:t xml:space="preserve"> operation.</w:t>
      </w:r>
    </w:p>
    <w:p w14:paraId="4CEC5F53" w14:textId="77777777" w:rsidR="003E5B3A" w:rsidRPr="0024416A" w:rsidRDefault="003E5B3A" w:rsidP="003E5B3A">
      <w:pPr>
        <w:overflowPunct w:val="0"/>
        <w:autoSpaceDE w:val="0"/>
        <w:autoSpaceDN w:val="0"/>
        <w:adjustRightInd w:val="0"/>
        <w:textAlignment w:val="baseline"/>
        <w:rPr>
          <w:bCs/>
          <w:color w:val="000000"/>
        </w:rPr>
      </w:pPr>
    </w:p>
    <w:p w14:paraId="2311DCCE" w14:textId="178DCCB7" w:rsidR="003E5B3A" w:rsidRPr="006A3352" w:rsidRDefault="003E5B3A" w:rsidP="003E5B3A">
      <w:pPr>
        <w:overflowPunct w:val="0"/>
        <w:autoSpaceDE w:val="0"/>
        <w:autoSpaceDN w:val="0"/>
        <w:adjustRightInd w:val="0"/>
        <w:ind w:left="1440" w:hanging="720"/>
        <w:textAlignment w:val="baseline"/>
        <w:rPr>
          <w:color w:val="000000"/>
        </w:rPr>
      </w:pPr>
      <w:r w:rsidRPr="006A3352">
        <w:rPr>
          <w:color w:val="000000"/>
        </w:rPr>
        <w:t>f)</w:t>
      </w:r>
      <w:r w:rsidRPr="006A3352">
        <w:rPr>
          <w:color w:val="000000"/>
        </w:rPr>
        <w:tab/>
        <w:t xml:space="preserve">Once an </w:t>
      </w:r>
      <w:r w:rsidR="00721960" w:rsidRPr="006A3352">
        <w:rPr>
          <w:color w:val="000000"/>
        </w:rPr>
        <w:t>A</w:t>
      </w:r>
      <w:r w:rsidRPr="006A3352">
        <w:rPr>
          <w:color w:val="000000"/>
        </w:rPr>
        <w:t xml:space="preserve">nimal </w:t>
      </w:r>
      <w:r w:rsidR="00721960" w:rsidRPr="006A3352">
        <w:rPr>
          <w:color w:val="000000"/>
        </w:rPr>
        <w:t>F</w:t>
      </w:r>
      <w:r w:rsidRPr="006A3352">
        <w:rPr>
          <w:color w:val="000000"/>
        </w:rPr>
        <w:t xml:space="preserve">eeding </w:t>
      </w:r>
      <w:r w:rsidR="00721960" w:rsidRPr="006A3352">
        <w:rPr>
          <w:color w:val="000000"/>
        </w:rPr>
        <w:t>O</w:t>
      </w:r>
      <w:r w:rsidRPr="006A3352">
        <w:rPr>
          <w:color w:val="000000"/>
        </w:rPr>
        <w:t>peration</w:t>
      </w:r>
      <w:r w:rsidR="00CA37AB" w:rsidRPr="006A3352">
        <w:rPr>
          <w:color w:val="000000"/>
        </w:rPr>
        <w:t xml:space="preserve"> </w:t>
      </w:r>
      <w:r w:rsidRPr="006A3352">
        <w:rPr>
          <w:color w:val="000000"/>
        </w:rPr>
        <w:t xml:space="preserve">is defined as a CAFO for at least one type of animal, </w:t>
      </w:r>
      <w:r w:rsidR="00270E1D">
        <w:rPr>
          <w:color w:val="000000"/>
        </w:rPr>
        <w:t xml:space="preserve">the </w:t>
      </w:r>
      <w:r w:rsidRPr="006A3352">
        <w:rPr>
          <w:color w:val="000000"/>
        </w:rPr>
        <w:t xml:space="preserve">NPDES permit requirements for CAFOs apply to all </w:t>
      </w:r>
      <w:r w:rsidR="00BC6C6B">
        <w:rPr>
          <w:color w:val="000000"/>
        </w:rPr>
        <w:t>confi</w:t>
      </w:r>
      <w:r w:rsidR="00AA4B23">
        <w:rPr>
          <w:color w:val="000000"/>
        </w:rPr>
        <w:t>n</w:t>
      </w:r>
      <w:r w:rsidR="00BC6C6B">
        <w:rPr>
          <w:color w:val="000000"/>
        </w:rPr>
        <w:t xml:space="preserve">ed </w:t>
      </w:r>
      <w:r w:rsidRPr="006A3352">
        <w:rPr>
          <w:color w:val="000000"/>
        </w:rPr>
        <w:t xml:space="preserve">animals at the </w:t>
      </w:r>
      <w:r w:rsidR="00CA37AB" w:rsidRPr="006A3352">
        <w:rPr>
          <w:color w:val="000000"/>
        </w:rPr>
        <w:t>a</w:t>
      </w:r>
      <w:r w:rsidRPr="006A3352">
        <w:rPr>
          <w:color w:val="000000"/>
        </w:rPr>
        <w:t xml:space="preserve">nimal </w:t>
      </w:r>
      <w:r w:rsidR="00CA37AB" w:rsidRPr="006A3352">
        <w:rPr>
          <w:color w:val="000000"/>
        </w:rPr>
        <w:t>f</w:t>
      </w:r>
      <w:r w:rsidRPr="006A3352">
        <w:rPr>
          <w:color w:val="000000"/>
        </w:rPr>
        <w:t xml:space="preserve">eeding </w:t>
      </w:r>
      <w:r w:rsidR="00CA37AB" w:rsidRPr="006A3352">
        <w:rPr>
          <w:color w:val="000000"/>
        </w:rPr>
        <w:t>o</w:t>
      </w:r>
      <w:r w:rsidRPr="006A3352">
        <w:rPr>
          <w:color w:val="000000"/>
        </w:rPr>
        <w:t>peration and all livestock waste generated by those animals or the production of those animals.</w:t>
      </w:r>
    </w:p>
    <w:p w14:paraId="7F5082A7" w14:textId="0B72B9BC" w:rsidR="003E5B3A" w:rsidRDefault="003E5B3A" w:rsidP="005C1C76">
      <w:pPr>
        <w:widowControl w:val="0"/>
        <w:autoSpaceDE w:val="0"/>
        <w:autoSpaceDN w:val="0"/>
        <w:adjustRightInd w:val="0"/>
      </w:pPr>
    </w:p>
    <w:p w14:paraId="41443BE9" w14:textId="0693C781" w:rsidR="00BC6C6B" w:rsidRPr="00BC6C6B" w:rsidRDefault="00BC6C6B" w:rsidP="00BC6C6B">
      <w:pPr>
        <w:overflowPunct w:val="0"/>
        <w:autoSpaceDE w:val="0"/>
        <w:autoSpaceDN w:val="0"/>
        <w:adjustRightInd w:val="0"/>
        <w:ind w:firstLine="720"/>
        <w:textAlignment w:val="baseline"/>
      </w:pPr>
      <w:r w:rsidRPr="00BC6C6B">
        <w:t>(Source: Amended at 4</w:t>
      </w:r>
      <w:r w:rsidR="00AC3C0A">
        <w:t>8</w:t>
      </w:r>
      <w:r w:rsidRPr="00BC6C6B">
        <w:t xml:space="preserve"> Ill. Reg. </w:t>
      </w:r>
      <w:r w:rsidR="00C10191">
        <w:t>3196</w:t>
      </w:r>
      <w:r w:rsidRPr="00BC6C6B">
        <w:t xml:space="preserve">, effective </w:t>
      </w:r>
      <w:r w:rsidR="0024416A">
        <w:t>February 15, 2024</w:t>
      </w:r>
      <w:r w:rsidRPr="00BC6C6B">
        <w:t>)</w:t>
      </w:r>
    </w:p>
    <w:sectPr w:rsidR="00BC6C6B" w:rsidRPr="00BC6C6B" w:rsidSect="005C1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C76"/>
    <w:rsid w:val="00082CEC"/>
    <w:rsid w:val="00087BB9"/>
    <w:rsid w:val="001C250C"/>
    <w:rsid w:val="0024416A"/>
    <w:rsid w:val="00270E1D"/>
    <w:rsid w:val="003E5B3A"/>
    <w:rsid w:val="0044630D"/>
    <w:rsid w:val="004D7A63"/>
    <w:rsid w:val="005C1C76"/>
    <w:rsid w:val="005C3366"/>
    <w:rsid w:val="006A3352"/>
    <w:rsid w:val="006A3EAC"/>
    <w:rsid w:val="00721960"/>
    <w:rsid w:val="007778DA"/>
    <w:rsid w:val="00777F83"/>
    <w:rsid w:val="00867A5B"/>
    <w:rsid w:val="00A84FAE"/>
    <w:rsid w:val="00AA4B23"/>
    <w:rsid w:val="00AC3C0A"/>
    <w:rsid w:val="00AC780C"/>
    <w:rsid w:val="00BC4948"/>
    <w:rsid w:val="00BC6C6B"/>
    <w:rsid w:val="00C10191"/>
    <w:rsid w:val="00CA37AB"/>
    <w:rsid w:val="00CE6167"/>
    <w:rsid w:val="00D03991"/>
    <w:rsid w:val="00E6482C"/>
    <w:rsid w:val="00EB58AB"/>
    <w:rsid w:val="00F36132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A85EEC"/>
  <w15:docId w15:val="{7D5795BD-08FF-489E-B358-5A12F36F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2024-02-08T15:47:00Z</dcterms:created>
  <dcterms:modified xsi:type="dcterms:W3CDTF">2024-03-01T16:21:00Z</dcterms:modified>
</cp:coreProperties>
</file>