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E6" w:rsidRDefault="003A43E6" w:rsidP="003A43E6">
      <w:pPr>
        <w:widowControl w:val="0"/>
        <w:autoSpaceDE w:val="0"/>
        <w:autoSpaceDN w:val="0"/>
        <w:adjustRightInd w:val="0"/>
      </w:pPr>
      <w:bookmarkStart w:id="0" w:name="_GoBack"/>
      <w:bookmarkEnd w:id="0"/>
    </w:p>
    <w:p w:rsidR="003A43E6" w:rsidRDefault="003A43E6" w:rsidP="003A43E6">
      <w:pPr>
        <w:widowControl w:val="0"/>
        <w:autoSpaceDE w:val="0"/>
        <w:autoSpaceDN w:val="0"/>
        <w:adjustRightInd w:val="0"/>
      </w:pPr>
      <w:r>
        <w:rPr>
          <w:b/>
          <w:bCs/>
        </w:rPr>
        <w:t xml:space="preserve">Section 391.411 </w:t>
      </w:r>
      <w:r w:rsidR="00D87D82">
        <w:rPr>
          <w:b/>
          <w:bCs/>
        </w:rPr>
        <w:t xml:space="preserve"> </w:t>
      </w:r>
      <w:r>
        <w:rPr>
          <w:b/>
          <w:bCs/>
        </w:rPr>
        <w:t xml:space="preserve"> Nitrogen</w:t>
      </w:r>
      <w:r>
        <w:t xml:space="preserve"> </w:t>
      </w:r>
    </w:p>
    <w:p w:rsidR="003A43E6" w:rsidRDefault="003A43E6" w:rsidP="003A43E6">
      <w:pPr>
        <w:widowControl w:val="0"/>
        <w:autoSpaceDE w:val="0"/>
        <w:autoSpaceDN w:val="0"/>
        <w:adjustRightInd w:val="0"/>
      </w:pPr>
    </w:p>
    <w:p w:rsidR="003A43E6" w:rsidRDefault="003A43E6" w:rsidP="003A43E6">
      <w:pPr>
        <w:widowControl w:val="0"/>
        <w:autoSpaceDE w:val="0"/>
        <w:autoSpaceDN w:val="0"/>
        <w:adjustRightInd w:val="0"/>
      </w:pPr>
      <w:r>
        <w:t xml:space="preserve">In the short range (five years), nitrogen in the sludge is usually considered to be the limiting factor.  The maximum loading rates of sludge applied to the land is based on the nitrogen required for growing a crop. Projects that apply sludge in excess of the nitrogen agronomic rate must show what additional precautions or circumstances are present to prevent potential surface or groundwater pollution or violations of the Act.  The following figures for nitrogen availability to plants shall be utilized in the agronomic calculations unless additional research and site specific information is provided: </w:t>
      </w:r>
    </w:p>
    <w:p w:rsidR="008316F3" w:rsidRDefault="008316F3" w:rsidP="003A43E6">
      <w:pPr>
        <w:widowControl w:val="0"/>
        <w:autoSpaceDE w:val="0"/>
        <w:autoSpaceDN w:val="0"/>
        <w:adjustRightInd w:val="0"/>
      </w:pPr>
    </w:p>
    <w:p w:rsidR="003A43E6" w:rsidRDefault="003A43E6" w:rsidP="003A43E6">
      <w:pPr>
        <w:widowControl w:val="0"/>
        <w:autoSpaceDE w:val="0"/>
        <w:autoSpaceDN w:val="0"/>
        <w:adjustRightInd w:val="0"/>
        <w:ind w:left="1440" w:hanging="720"/>
      </w:pPr>
      <w:r>
        <w:t>a)</w:t>
      </w:r>
      <w:r>
        <w:tab/>
        <w:t xml:space="preserve">Ammonia Nitrogen </w:t>
      </w:r>
    </w:p>
    <w:p w:rsidR="008316F3" w:rsidRDefault="008316F3" w:rsidP="003A43E6">
      <w:pPr>
        <w:widowControl w:val="0"/>
        <w:autoSpaceDE w:val="0"/>
        <w:autoSpaceDN w:val="0"/>
        <w:adjustRightInd w:val="0"/>
        <w:ind w:left="2160" w:hanging="720"/>
      </w:pPr>
    </w:p>
    <w:p w:rsidR="003A43E6" w:rsidRDefault="003A43E6" w:rsidP="003A43E6">
      <w:pPr>
        <w:widowControl w:val="0"/>
        <w:autoSpaceDE w:val="0"/>
        <w:autoSpaceDN w:val="0"/>
        <w:adjustRightInd w:val="0"/>
        <w:ind w:left="2160" w:hanging="720"/>
      </w:pPr>
      <w:r>
        <w:t>1)</w:t>
      </w:r>
      <w:r>
        <w:tab/>
        <w:t xml:space="preserve">Surface application without incorporation </w:t>
      </w:r>
    </w:p>
    <w:p w:rsidR="008316F3" w:rsidRDefault="008316F3" w:rsidP="003A43E6">
      <w:pPr>
        <w:widowControl w:val="0"/>
        <w:autoSpaceDE w:val="0"/>
        <w:autoSpaceDN w:val="0"/>
        <w:adjustRightInd w:val="0"/>
        <w:ind w:left="2880" w:hanging="720"/>
      </w:pPr>
    </w:p>
    <w:p w:rsidR="003A43E6" w:rsidRDefault="003A43E6" w:rsidP="003A43E6">
      <w:pPr>
        <w:widowControl w:val="0"/>
        <w:autoSpaceDE w:val="0"/>
        <w:autoSpaceDN w:val="0"/>
        <w:adjustRightInd w:val="0"/>
        <w:ind w:left="2880" w:hanging="720"/>
      </w:pPr>
      <w:r>
        <w:t>A)</w:t>
      </w:r>
      <w:r>
        <w:tab/>
        <w:t xml:space="preserve">Sandy and non-sandy soil </w:t>
      </w:r>
      <w:r w:rsidR="00D87D82">
        <w:t>–</w:t>
      </w:r>
      <w:r>
        <w:t xml:space="preserve"> 50% NH</w:t>
      </w:r>
      <w:r w:rsidRPr="00D87D82">
        <w:rPr>
          <w:vertAlign w:val="subscript"/>
        </w:rPr>
        <w:t>3</w:t>
      </w:r>
      <w:r>
        <w:t xml:space="preserve"> </w:t>
      </w:r>
      <w:r w:rsidR="00D87D82">
        <w:t>availability</w:t>
      </w:r>
    </w:p>
    <w:p w:rsidR="008316F3" w:rsidRDefault="008316F3" w:rsidP="003A43E6">
      <w:pPr>
        <w:widowControl w:val="0"/>
        <w:autoSpaceDE w:val="0"/>
        <w:autoSpaceDN w:val="0"/>
        <w:adjustRightInd w:val="0"/>
        <w:ind w:left="2880" w:hanging="720"/>
      </w:pPr>
    </w:p>
    <w:p w:rsidR="003A43E6" w:rsidRDefault="003A43E6" w:rsidP="003A43E6">
      <w:pPr>
        <w:widowControl w:val="0"/>
        <w:autoSpaceDE w:val="0"/>
        <w:autoSpaceDN w:val="0"/>
        <w:adjustRightInd w:val="0"/>
        <w:ind w:left="2880" w:hanging="720"/>
      </w:pPr>
      <w:r>
        <w:t>B)</w:t>
      </w:r>
      <w:r>
        <w:tab/>
        <w:t xml:space="preserve">Tight clay soil </w:t>
      </w:r>
      <w:r w:rsidR="00D87D82">
        <w:t>–</w:t>
      </w:r>
      <w:r>
        <w:t xml:space="preserve"> 25% NH</w:t>
      </w:r>
      <w:r w:rsidRPr="00D87D82">
        <w:rPr>
          <w:vertAlign w:val="subscript"/>
        </w:rPr>
        <w:t>3</w:t>
      </w:r>
      <w:r>
        <w:t xml:space="preserve"> </w:t>
      </w:r>
      <w:r w:rsidR="00D87D82">
        <w:t>availability</w:t>
      </w:r>
    </w:p>
    <w:p w:rsidR="008316F3" w:rsidRDefault="008316F3" w:rsidP="003A43E6">
      <w:pPr>
        <w:widowControl w:val="0"/>
        <w:autoSpaceDE w:val="0"/>
        <w:autoSpaceDN w:val="0"/>
        <w:adjustRightInd w:val="0"/>
        <w:ind w:left="2160" w:hanging="720"/>
      </w:pPr>
    </w:p>
    <w:p w:rsidR="003A43E6" w:rsidRDefault="003A43E6" w:rsidP="003A43E6">
      <w:pPr>
        <w:widowControl w:val="0"/>
        <w:autoSpaceDE w:val="0"/>
        <w:autoSpaceDN w:val="0"/>
        <w:adjustRightInd w:val="0"/>
        <w:ind w:left="2160" w:hanging="720"/>
      </w:pPr>
      <w:r>
        <w:t>2)</w:t>
      </w:r>
      <w:r>
        <w:tab/>
        <w:t xml:space="preserve">Surface application with chisel plowing, disking or equivalent </w:t>
      </w:r>
    </w:p>
    <w:p w:rsidR="008316F3" w:rsidRDefault="008316F3" w:rsidP="003A43E6">
      <w:pPr>
        <w:widowControl w:val="0"/>
        <w:autoSpaceDE w:val="0"/>
        <w:autoSpaceDN w:val="0"/>
        <w:adjustRightInd w:val="0"/>
        <w:ind w:left="2880" w:hanging="720"/>
      </w:pPr>
    </w:p>
    <w:p w:rsidR="003A43E6" w:rsidRDefault="003A43E6" w:rsidP="003A43E6">
      <w:pPr>
        <w:widowControl w:val="0"/>
        <w:autoSpaceDE w:val="0"/>
        <w:autoSpaceDN w:val="0"/>
        <w:adjustRightInd w:val="0"/>
        <w:ind w:left="2880" w:hanging="720"/>
      </w:pPr>
      <w:r>
        <w:t>A)</w:t>
      </w:r>
      <w:r>
        <w:tab/>
        <w:t xml:space="preserve">Sandy soil </w:t>
      </w:r>
      <w:r w:rsidR="00D87D82">
        <w:t>–</w:t>
      </w:r>
      <w:r>
        <w:t xml:space="preserve"> 50% NH</w:t>
      </w:r>
      <w:r w:rsidRPr="00D87D82">
        <w:rPr>
          <w:vertAlign w:val="subscript"/>
        </w:rPr>
        <w:t>3</w:t>
      </w:r>
      <w:r>
        <w:t xml:space="preserve"> </w:t>
      </w:r>
      <w:r w:rsidR="00D87D82">
        <w:t>availability</w:t>
      </w:r>
    </w:p>
    <w:p w:rsidR="008316F3" w:rsidRDefault="008316F3" w:rsidP="003A43E6">
      <w:pPr>
        <w:widowControl w:val="0"/>
        <w:autoSpaceDE w:val="0"/>
        <w:autoSpaceDN w:val="0"/>
        <w:adjustRightInd w:val="0"/>
        <w:ind w:left="2880" w:hanging="720"/>
      </w:pPr>
    </w:p>
    <w:p w:rsidR="003A43E6" w:rsidRDefault="003A43E6" w:rsidP="003A43E6">
      <w:pPr>
        <w:widowControl w:val="0"/>
        <w:autoSpaceDE w:val="0"/>
        <w:autoSpaceDN w:val="0"/>
        <w:adjustRightInd w:val="0"/>
        <w:ind w:left="2880" w:hanging="720"/>
      </w:pPr>
      <w:r>
        <w:t>B)</w:t>
      </w:r>
      <w:r>
        <w:tab/>
        <w:t xml:space="preserve">Non-sandy soil </w:t>
      </w:r>
      <w:r w:rsidR="00D87D82">
        <w:t>–</w:t>
      </w:r>
      <w:r>
        <w:t xml:space="preserve"> 80% NH</w:t>
      </w:r>
      <w:r w:rsidRPr="00D87D82">
        <w:rPr>
          <w:vertAlign w:val="subscript"/>
        </w:rPr>
        <w:t>3</w:t>
      </w:r>
      <w:r>
        <w:t xml:space="preserve"> </w:t>
      </w:r>
      <w:r w:rsidR="00D87D82">
        <w:t>availability</w:t>
      </w:r>
    </w:p>
    <w:p w:rsidR="008316F3" w:rsidRDefault="008316F3" w:rsidP="003A43E6">
      <w:pPr>
        <w:widowControl w:val="0"/>
        <w:autoSpaceDE w:val="0"/>
        <w:autoSpaceDN w:val="0"/>
        <w:adjustRightInd w:val="0"/>
        <w:ind w:left="2160" w:hanging="720"/>
      </w:pPr>
    </w:p>
    <w:p w:rsidR="003A43E6" w:rsidRDefault="003A43E6" w:rsidP="003A43E6">
      <w:pPr>
        <w:widowControl w:val="0"/>
        <w:autoSpaceDE w:val="0"/>
        <w:autoSpaceDN w:val="0"/>
        <w:adjustRightInd w:val="0"/>
        <w:ind w:left="2160" w:hanging="720"/>
      </w:pPr>
      <w:r>
        <w:t>3)</w:t>
      </w:r>
      <w:r>
        <w:tab/>
        <w:t xml:space="preserve">Subsurface application (injection) </w:t>
      </w:r>
    </w:p>
    <w:p w:rsidR="008316F3" w:rsidRDefault="008316F3" w:rsidP="003A43E6">
      <w:pPr>
        <w:widowControl w:val="0"/>
        <w:autoSpaceDE w:val="0"/>
        <w:autoSpaceDN w:val="0"/>
        <w:adjustRightInd w:val="0"/>
        <w:ind w:left="2880" w:hanging="720"/>
      </w:pPr>
    </w:p>
    <w:p w:rsidR="003A43E6" w:rsidRDefault="003A43E6" w:rsidP="003A43E6">
      <w:pPr>
        <w:widowControl w:val="0"/>
        <w:autoSpaceDE w:val="0"/>
        <w:autoSpaceDN w:val="0"/>
        <w:adjustRightInd w:val="0"/>
        <w:ind w:left="2880" w:hanging="720"/>
      </w:pPr>
      <w:r>
        <w:t>A)</w:t>
      </w:r>
      <w:r>
        <w:tab/>
        <w:t xml:space="preserve">Sandy soil </w:t>
      </w:r>
      <w:r w:rsidR="00D87D82">
        <w:t>–</w:t>
      </w:r>
      <w:r>
        <w:t xml:space="preserve"> 50% NH</w:t>
      </w:r>
      <w:r w:rsidRPr="00D87D82">
        <w:rPr>
          <w:vertAlign w:val="subscript"/>
        </w:rPr>
        <w:t>3</w:t>
      </w:r>
      <w:r>
        <w:t xml:space="preserve"> </w:t>
      </w:r>
      <w:r w:rsidR="00D87D82">
        <w:t>availability</w:t>
      </w:r>
    </w:p>
    <w:p w:rsidR="008316F3" w:rsidRDefault="008316F3" w:rsidP="003A43E6">
      <w:pPr>
        <w:widowControl w:val="0"/>
        <w:autoSpaceDE w:val="0"/>
        <w:autoSpaceDN w:val="0"/>
        <w:adjustRightInd w:val="0"/>
        <w:ind w:left="2880" w:hanging="720"/>
      </w:pPr>
    </w:p>
    <w:p w:rsidR="003A43E6" w:rsidRDefault="003A43E6" w:rsidP="003A43E6">
      <w:pPr>
        <w:widowControl w:val="0"/>
        <w:autoSpaceDE w:val="0"/>
        <w:autoSpaceDN w:val="0"/>
        <w:adjustRightInd w:val="0"/>
        <w:ind w:left="2880" w:hanging="720"/>
      </w:pPr>
      <w:r>
        <w:t>B)</w:t>
      </w:r>
      <w:r>
        <w:tab/>
        <w:t xml:space="preserve">Non-sandy soil </w:t>
      </w:r>
      <w:r w:rsidR="00D87D82">
        <w:t>–</w:t>
      </w:r>
      <w:r>
        <w:t xml:space="preserve"> 100% NH</w:t>
      </w:r>
      <w:r w:rsidRPr="00D87D82">
        <w:rPr>
          <w:vertAlign w:val="subscript"/>
        </w:rPr>
        <w:t>3</w:t>
      </w:r>
      <w:r>
        <w:t xml:space="preserve"> </w:t>
      </w:r>
      <w:r w:rsidR="00D87D82">
        <w:t>availability</w:t>
      </w:r>
    </w:p>
    <w:p w:rsidR="008316F3" w:rsidRDefault="008316F3" w:rsidP="003A43E6">
      <w:pPr>
        <w:widowControl w:val="0"/>
        <w:autoSpaceDE w:val="0"/>
        <w:autoSpaceDN w:val="0"/>
        <w:adjustRightInd w:val="0"/>
        <w:ind w:left="2160" w:hanging="720"/>
      </w:pPr>
    </w:p>
    <w:p w:rsidR="003A43E6" w:rsidRDefault="003A43E6" w:rsidP="003A43E6">
      <w:pPr>
        <w:widowControl w:val="0"/>
        <w:autoSpaceDE w:val="0"/>
        <w:autoSpaceDN w:val="0"/>
        <w:adjustRightInd w:val="0"/>
        <w:ind w:left="2160" w:hanging="720"/>
      </w:pPr>
      <w:r>
        <w:t>4)</w:t>
      </w:r>
      <w:r>
        <w:tab/>
        <w:t xml:space="preserve">Due to additional losses such as volatilization, nitrification, </w:t>
      </w:r>
      <w:proofErr w:type="spellStart"/>
      <w:r>
        <w:t>denitrification</w:t>
      </w:r>
      <w:proofErr w:type="spellEnd"/>
      <w:r>
        <w:t xml:space="preserve">, etc., no carry over of available ammonia nitrogen is expected.  The above figures are to be used for that particular year's application rate calculations. </w:t>
      </w:r>
    </w:p>
    <w:p w:rsidR="008316F3" w:rsidRDefault="008316F3" w:rsidP="00D87D82">
      <w:pPr>
        <w:widowControl w:val="0"/>
        <w:autoSpaceDE w:val="0"/>
        <w:autoSpaceDN w:val="0"/>
        <w:adjustRightInd w:val="0"/>
        <w:ind w:left="1440" w:hanging="720"/>
      </w:pPr>
    </w:p>
    <w:p w:rsidR="00D87D82" w:rsidRDefault="003A43E6" w:rsidP="00D87D82">
      <w:pPr>
        <w:widowControl w:val="0"/>
        <w:autoSpaceDE w:val="0"/>
        <w:autoSpaceDN w:val="0"/>
        <w:adjustRightInd w:val="0"/>
        <w:ind w:left="1440" w:hanging="720"/>
      </w:pPr>
      <w:r>
        <w:t>b)</w:t>
      </w:r>
      <w:r>
        <w:tab/>
        <w:t>Organic Nitrogen</w:t>
      </w:r>
    </w:p>
    <w:p w:rsidR="003A43E6" w:rsidRDefault="003A43E6" w:rsidP="003A43E6">
      <w:pPr>
        <w:widowControl w:val="0"/>
        <w:autoSpaceDE w:val="0"/>
        <w:autoSpaceDN w:val="0"/>
        <w:adjustRightInd w:val="0"/>
        <w:ind w:left="1440" w:hanging="720"/>
      </w:pPr>
    </w:p>
    <w:tbl>
      <w:tblPr>
        <w:tblW w:w="0" w:type="auto"/>
        <w:tblInd w:w="1476" w:type="dxa"/>
        <w:tblLayout w:type="fixed"/>
        <w:tblLook w:val="0000" w:firstRow="0" w:lastRow="0" w:firstColumn="0" w:lastColumn="0" w:noHBand="0" w:noVBand="0"/>
      </w:tblPr>
      <w:tblGrid>
        <w:gridCol w:w="1706"/>
        <w:gridCol w:w="1315"/>
        <w:gridCol w:w="798"/>
        <w:gridCol w:w="855"/>
        <w:gridCol w:w="855"/>
        <w:gridCol w:w="855"/>
        <w:gridCol w:w="855"/>
      </w:tblGrid>
      <w:tr w:rsidR="000E338F">
        <w:tblPrEx>
          <w:tblCellMar>
            <w:top w:w="0" w:type="dxa"/>
            <w:bottom w:w="0" w:type="dxa"/>
          </w:tblCellMar>
        </w:tblPrEx>
        <w:trPr>
          <w:trHeight w:val="987"/>
        </w:trPr>
        <w:tc>
          <w:tcPr>
            <w:tcW w:w="7239" w:type="dxa"/>
            <w:gridSpan w:val="7"/>
          </w:tcPr>
          <w:p w:rsidR="000E338F" w:rsidRDefault="000E338F" w:rsidP="00D87D82">
            <w:pPr>
              <w:widowControl w:val="0"/>
              <w:autoSpaceDE w:val="0"/>
              <w:autoSpaceDN w:val="0"/>
              <w:adjustRightInd w:val="0"/>
              <w:jc w:val="center"/>
            </w:pPr>
            <w:r>
              <w:t>Table I</w:t>
            </w:r>
          </w:p>
          <w:p w:rsidR="000E338F" w:rsidRPr="00D87D82" w:rsidRDefault="000E338F" w:rsidP="00D87D82">
            <w:pPr>
              <w:widowControl w:val="0"/>
              <w:autoSpaceDE w:val="0"/>
              <w:autoSpaceDN w:val="0"/>
              <w:adjustRightInd w:val="0"/>
              <w:jc w:val="center"/>
              <w:rPr>
                <w:u w:val="single"/>
              </w:rPr>
            </w:pPr>
            <w:r w:rsidRPr="00D87D82">
              <w:rPr>
                <w:u w:val="single"/>
              </w:rPr>
              <w:t>Organic Nitrogen Availability for Crops</w:t>
            </w:r>
          </w:p>
          <w:p w:rsidR="000E338F" w:rsidRDefault="000E338F" w:rsidP="00D87D82">
            <w:pPr>
              <w:widowControl w:val="0"/>
              <w:autoSpaceDE w:val="0"/>
              <w:autoSpaceDN w:val="0"/>
              <w:adjustRightInd w:val="0"/>
              <w:jc w:val="center"/>
            </w:pPr>
            <w:r>
              <w:t>(read down for that particular year of sludge application)</w:t>
            </w:r>
          </w:p>
        </w:tc>
      </w:tr>
      <w:tr w:rsidR="00DC21C8">
        <w:tblPrEx>
          <w:tblCellMar>
            <w:top w:w="0" w:type="dxa"/>
            <w:bottom w:w="0" w:type="dxa"/>
          </w:tblCellMar>
        </w:tblPrEx>
        <w:tc>
          <w:tcPr>
            <w:tcW w:w="1706" w:type="dxa"/>
          </w:tcPr>
          <w:p w:rsidR="00D87D82" w:rsidRPr="00D87D82" w:rsidRDefault="00D87D82" w:rsidP="003A43E6">
            <w:pPr>
              <w:widowControl w:val="0"/>
              <w:autoSpaceDE w:val="0"/>
              <w:autoSpaceDN w:val="0"/>
              <w:adjustRightInd w:val="0"/>
              <w:rPr>
                <w:u w:val="single"/>
              </w:rPr>
            </w:pPr>
          </w:p>
        </w:tc>
        <w:tc>
          <w:tcPr>
            <w:tcW w:w="1315" w:type="dxa"/>
          </w:tcPr>
          <w:p w:rsidR="00D87D82" w:rsidRDefault="00D87D82" w:rsidP="003A43E6">
            <w:pPr>
              <w:widowControl w:val="0"/>
              <w:autoSpaceDE w:val="0"/>
              <w:autoSpaceDN w:val="0"/>
              <w:adjustRightInd w:val="0"/>
            </w:pPr>
          </w:p>
        </w:tc>
        <w:tc>
          <w:tcPr>
            <w:tcW w:w="798" w:type="dxa"/>
            <w:tcBorders>
              <w:bottom w:val="single" w:sz="4" w:space="0" w:color="auto"/>
            </w:tcBorders>
          </w:tcPr>
          <w:p w:rsidR="00D87D82" w:rsidRDefault="00DC21C8" w:rsidP="0066589F">
            <w:pPr>
              <w:widowControl w:val="0"/>
              <w:autoSpaceDE w:val="0"/>
              <w:autoSpaceDN w:val="0"/>
              <w:adjustRightInd w:val="0"/>
              <w:jc w:val="right"/>
            </w:pPr>
            <w:r>
              <w:t>1</w:t>
            </w:r>
            <w:r w:rsidRPr="00DC21C8">
              <w:rPr>
                <w:vertAlign w:val="superscript"/>
              </w:rPr>
              <w:t>st</w:t>
            </w:r>
          </w:p>
        </w:tc>
        <w:tc>
          <w:tcPr>
            <w:tcW w:w="855" w:type="dxa"/>
            <w:tcBorders>
              <w:bottom w:val="single" w:sz="4" w:space="0" w:color="auto"/>
            </w:tcBorders>
          </w:tcPr>
          <w:p w:rsidR="00D87D82" w:rsidRDefault="00DC21C8" w:rsidP="0066589F">
            <w:pPr>
              <w:widowControl w:val="0"/>
              <w:autoSpaceDE w:val="0"/>
              <w:autoSpaceDN w:val="0"/>
              <w:adjustRightInd w:val="0"/>
              <w:jc w:val="right"/>
            </w:pPr>
            <w:r>
              <w:t>2</w:t>
            </w:r>
            <w:r w:rsidRPr="00DC21C8">
              <w:rPr>
                <w:vertAlign w:val="superscript"/>
              </w:rPr>
              <w:t>nd</w:t>
            </w:r>
          </w:p>
        </w:tc>
        <w:tc>
          <w:tcPr>
            <w:tcW w:w="855" w:type="dxa"/>
            <w:tcBorders>
              <w:bottom w:val="single" w:sz="4" w:space="0" w:color="auto"/>
            </w:tcBorders>
          </w:tcPr>
          <w:p w:rsidR="00D87D82" w:rsidRDefault="00DC21C8" w:rsidP="0066589F">
            <w:pPr>
              <w:widowControl w:val="0"/>
              <w:autoSpaceDE w:val="0"/>
              <w:autoSpaceDN w:val="0"/>
              <w:adjustRightInd w:val="0"/>
              <w:jc w:val="right"/>
            </w:pPr>
            <w:r>
              <w:t>3</w:t>
            </w:r>
            <w:r w:rsidRPr="00DC21C8">
              <w:rPr>
                <w:vertAlign w:val="superscript"/>
              </w:rPr>
              <w:t>rd</w:t>
            </w:r>
          </w:p>
        </w:tc>
        <w:tc>
          <w:tcPr>
            <w:tcW w:w="855" w:type="dxa"/>
            <w:tcBorders>
              <w:bottom w:val="single" w:sz="4" w:space="0" w:color="auto"/>
            </w:tcBorders>
          </w:tcPr>
          <w:p w:rsidR="00D87D82" w:rsidRDefault="00DC21C8" w:rsidP="0066589F">
            <w:pPr>
              <w:widowControl w:val="0"/>
              <w:autoSpaceDE w:val="0"/>
              <w:autoSpaceDN w:val="0"/>
              <w:adjustRightInd w:val="0"/>
              <w:jc w:val="right"/>
            </w:pPr>
            <w:r>
              <w:t>4</w:t>
            </w:r>
            <w:r w:rsidRPr="00DC21C8">
              <w:rPr>
                <w:vertAlign w:val="superscript"/>
              </w:rPr>
              <w:t>th</w:t>
            </w:r>
          </w:p>
        </w:tc>
        <w:tc>
          <w:tcPr>
            <w:tcW w:w="855" w:type="dxa"/>
            <w:tcBorders>
              <w:bottom w:val="single" w:sz="4" w:space="0" w:color="auto"/>
            </w:tcBorders>
          </w:tcPr>
          <w:p w:rsidR="00D87D82" w:rsidRDefault="00DC21C8" w:rsidP="0066589F">
            <w:pPr>
              <w:widowControl w:val="0"/>
              <w:autoSpaceDE w:val="0"/>
              <w:autoSpaceDN w:val="0"/>
              <w:adjustRightInd w:val="0"/>
              <w:jc w:val="right"/>
            </w:pPr>
            <w:r>
              <w:t>5</w:t>
            </w:r>
            <w:r w:rsidRPr="00DC21C8">
              <w:rPr>
                <w:vertAlign w:val="superscript"/>
              </w:rPr>
              <w:t>th</w:t>
            </w:r>
          </w:p>
        </w:tc>
      </w:tr>
      <w:tr w:rsidR="001B1535">
        <w:tblPrEx>
          <w:tblCellMar>
            <w:top w:w="0" w:type="dxa"/>
            <w:bottom w:w="0" w:type="dxa"/>
          </w:tblCellMar>
        </w:tblPrEx>
        <w:tc>
          <w:tcPr>
            <w:tcW w:w="1706" w:type="dxa"/>
            <w:vMerge w:val="restart"/>
            <w:vAlign w:val="center"/>
          </w:tcPr>
          <w:p w:rsidR="001B1535" w:rsidRPr="00D87D82" w:rsidRDefault="001B1535" w:rsidP="003A43E6">
            <w:pPr>
              <w:widowControl w:val="0"/>
              <w:autoSpaceDE w:val="0"/>
              <w:autoSpaceDN w:val="0"/>
              <w:adjustRightInd w:val="0"/>
              <w:rPr>
                <w:u w:val="single"/>
              </w:rPr>
            </w:pPr>
            <w:r w:rsidRPr="00D87D82">
              <w:rPr>
                <w:u w:val="single"/>
              </w:rPr>
              <w:t>Sludge</w:t>
            </w:r>
          </w:p>
          <w:p w:rsidR="001B1535" w:rsidRDefault="001B1535" w:rsidP="003A43E6">
            <w:pPr>
              <w:widowControl w:val="0"/>
              <w:autoSpaceDE w:val="0"/>
              <w:autoSpaceDN w:val="0"/>
              <w:adjustRightInd w:val="0"/>
            </w:pPr>
            <w:r w:rsidRPr="00D87D82">
              <w:rPr>
                <w:u w:val="single"/>
              </w:rPr>
              <w:t>Application</w:t>
            </w:r>
          </w:p>
          <w:p w:rsidR="001B1535" w:rsidRPr="00D87D82" w:rsidRDefault="001B1535" w:rsidP="003A43E6">
            <w:pPr>
              <w:widowControl w:val="0"/>
              <w:autoSpaceDE w:val="0"/>
              <w:autoSpaceDN w:val="0"/>
              <w:adjustRightInd w:val="0"/>
              <w:rPr>
                <w:u w:val="single"/>
              </w:rPr>
            </w:pPr>
            <w:r w:rsidRPr="00D87D82">
              <w:rPr>
                <w:u w:val="single"/>
              </w:rPr>
              <w:t>Year</w:t>
            </w:r>
          </w:p>
        </w:tc>
        <w:tc>
          <w:tcPr>
            <w:tcW w:w="1315" w:type="dxa"/>
          </w:tcPr>
          <w:p w:rsidR="001B1535" w:rsidRDefault="001B1535" w:rsidP="0066589F">
            <w:pPr>
              <w:widowControl w:val="0"/>
              <w:autoSpaceDE w:val="0"/>
              <w:autoSpaceDN w:val="0"/>
              <w:adjustRightInd w:val="0"/>
              <w:jc w:val="center"/>
            </w:pPr>
            <w:r>
              <w:t>1</w:t>
            </w:r>
            <w:r w:rsidRPr="00D87D82">
              <w:rPr>
                <w:vertAlign w:val="superscript"/>
              </w:rPr>
              <w:t>st</w:t>
            </w:r>
          </w:p>
        </w:tc>
        <w:tc>
          <w:tcPr>
            <w:tcW w:w="798" w:type="dxa"/>
          </w:tcPr>
          <w:p w:rsidR="001B1535" w:rsidRDefault="001B1535" w:rsidP="0066589F">
            <w:pPr>
              <w:widowControl w:val="0"/>
              <w:autoSpaceDE w:val="0"/>
              <w:autoSpaceDN w:val="0"/>
              <w:adjustRightInd w:val="0"/>
              <w:jc w:val="right"/>
            </w:pPr>
            <w:r>
              <w:t>20%</w:t>
            </w:r>
          </w:p>
        </w:tc>
        <w:tc>
          <w:tcPr>
            <w:tcW w:w="855" w:type="dxa"/>
          </w:tcPr>
          <w:p w:rsidR="001B1535" w:rsidRDefault="001B1535" w:rsidP="0066589F">
            <w:pPr>
              <w:widowControl w:val="0"/>
              <w:autoSpaceDE w:val="0"/>
              <w:autoSpaceDN w:val="0"/>
              <w:adjustRightInd w:val="0"/>
              <w:jc w:val="right"/>
            </w:pPr>
            <w:r>
              <w:t>10%</w:t>
            </w:r>
          </w:p>
        </w:tc>
        <w:tc>
          <w:tcPr>
            <w:tcW w:w="855" w:type="dxa"/>
          </w:tcPr>
          <w:p w:rsidR="001B1535" w:rsidRDefault="001B1535" w:rsidP="0066589F">
            <w:pPr>
              <w:widowControl w:val="0"/>
              <w:tabs>
                <w:tab w:val="left" w:pos="558"/>
              </w:tabs>
              <w:autoSpaceDE w:val="0"/>
              <w:autoSpaceDN w:val="0"/>
              <w:adjustRightInd w:val="0"/>
              <w:ind w:hanging="12"/>
              <w:jc w:val="right"/>
            </w:pPr>
            <w:r>
              <w:t>5%</w:t>
            </w:r>
          </w:p>
        </w:tc>
        <w:tc>
          <w:tcPr>
            <w:tcW w:w="855" w:type="dxa"/>
          </w:tcPr>
          <w:p w:rsidR="001B1535" w:rsidRDefault="001B1535" w:rsidP="0066589F">
            <w:pPr>
              <w:widowControl w:val="0"/>
              <w:autoSpaceDE w:val="0"/>
              <w:autoSpaceDN w:val="0"/>
              <w:adjustRightInd w:val="0"/>
              <w:jc w:val="right"/>
            </w:pPr>
            <w:r>
              <w:t>2.5%</w:t>
            </w:r>
          </w:p>
        </w:tc>
        <w:tc>
          <w:tcPr>
            <w:tcW w:w="855" w:type="dxa"/>
          </w:tcPr>
          <w:p w:rsidR="001B1535" w:rsidRDefault="001B1535" w:rsidP="0066589F">
            <w:pPr>
              <w:widowControl w:val="0"/>
              <w:autoSpaceDE w:val="0"/>
              <w:autoSpaceDN w:val="0"/>
              <w:adjustRightInd w:val="0"/>
              <w:jc w:val="right"/>
            </w:pPr>
            <w:r>
              <w:t>1.25%</w:t>
            </w:r>
          </w:p>
        </w:tc>
      </w:tr>
      <w:tr w:rsidR="001B1535">
        <w:tblPrEx>
          <w:tblCellMar>
            <w:top w:w="0" w:type="dxa"/>
            <w:bottom w:w="0" w:type="dxa"/>
          </w:tblCellMar>
        </w:tblPrEx>
        <w:tc>
          <w:tcPr>
            <w:tcW w:w="1706" w:type="dxa"/>
            <w:vMerge/>
          </w:tcPr>
          <w:p w:rsidR="001B1535" w:rsidRPr="00D87D82" w:rsidRDefault="001B1535" w:rsidP="003A43E6">
            <w:pPr>
              <w:widowControl w:val="0"/>
              <w:autoSpaceDE w:val="0"/>
              <w:autoSpaceDN w:val="0"/>
              <w:adjustRightInd w:val="0"/>
              <w:rPr>
                <w:u w:val="single"/>
              </w:rPr>
            </w:pPr>
          </w:p>
        </w:tc>
        <w:tc>
          <w:tcPr>
            <w:tcW w:w="1315" w:type="dxa"/>
          </w:tcPr>
          <w:p w:rsidR="001B1535" w:rsidRDefault="001B1535" w:rsidP="0066589F">
            <w:pPr>
              <w:widowControl w:val="0"/>
              <w:autoSpaceDE w:val="0"/>
              <w:autoSpaceDN w:val="0"/>
              <w:adjustRightInd w:val="0"/>
              <w:jc w:val="center"/>
            </w:pPr>
            <w:r>
              <w:t>2</w:t>
            </w:r>
            <w:r w:rsidRPr="00DC21C8">
              <w:rPr>
                <w:vertAlign w:val="superscript"/>
              </w:rPr>
              <w:t>nd</w:t>
            </w:r>
          </w:p>
        </w:tc>
        <w:tc>
          <w:tcPr>
            <w:tcW w:w="798" w:type="dxa"/>
          </w:tcPr>
          <w:p w:rsidR="001B1535" w:rsidRDefault="001B1535" w:rsidP="003A43E6">
            <w:pPr>
              <w:widowControl w:val="0"/>
              <w:autoSpaceDE w:val="0"/>
              <w:autoSpaceDN w:val="0"/>
              <w:adjustRightInd w:val="0"/>
            </w:pPr>
          </w:p>
        </w:tc>
        <w:tc>
          <w:tcPr>
            <w:tcW w:w="855" w:type="dxa"/>
          </w:tcPr>
          <w:p w:rsidR="001B1535" w:rsidRDefault="001B1535" w:rsidP="0066589F">
            <w:pPr>
              <w:widowControl w:val="0"/>
              <w:autoSpaceDE w:val="0"/>
              <w:autoSpaceDN w:val="0"/>
              <w:adjustRightInd w:val="0"/>
              <w:jc w:val="right"/>
            </w:pPr>
            <w:r>
              <w:t>20%</w:t>
            </w:r>
          </w:p>
        </w:tc>
        <w:tc>
          <w:tcPr>
            <w:tcW w:w="855" w:type="dxa"/>
          </w:tcPr>
          <w:p w:rsidR="001B1535" w:rsidRDefault="001B1535" w:rsidP="0066589F">
            <w:pPr>
              <w:widowControl w:val="0"/>
              <w:autoSpaceDE w:val="0"/>
              <w:autoSpaceDN w:val="0"/>
              <w:adjustRightInd w:val="0"/>
              <w:jc w:val="right"/>
            </w:pPr>
            <w:r>
              <w:t>10%</w:t>
            </w:r>
          </w:p>
        </w:tc>
        <w:tc>
          <w:tcPr>
            <w:tcW w:w="855" w:type="dxa"/>
          </w:tcPr>
          <w:p w:rsidR="001B1535" w:rsidRDefault="001B1535" w:rsidP="0066589F">
            <w:pPr>
              <w:widowControl w:val="0"/>
              <w:autoSpaceDE w:val="0"/>
              <w:autoSpaceDN w:val="0"/>
              <w:adjustRightInd w:val="0"/>
              <w:jc w:val="right"/>
            </w:pPr>
            <w:r>
              <w:t>5%</w:t>
            </w:r>
          </w:p>
        </w:tc>
        <w:tc>
          <w:tcPr>
            <w:tcW w:w="855" w:type="dxa"/>
          </w:tcPr>
          <w:p w:rsidR="001B1535" w:rsidRDefault="001B1535" w:rsidP="0066589F">
            <w:pPr>
              <w:widowControl w:val="0"/>
              <w:autoSpaceDE w:val="0"/>
              <w:autoSpaceDN w:val="0"/>
              <w:adjustRightInd w:val="0"/>
              <w:jc w:val="right"/>
            </w:pPr>
            <w:r>
              <w:t>2.5%</w:t>
            </w:r>
          </w:p>
        </w:tc>
      </w:tr>
      <w:tr w:rsidR="001B1535">
        <w:tblPrEx>
          <w:tblCellMar>
            <w:top w:w="0" w:type="dxa"/>
            <w:bottom w:w="0" w:type="dxa"/>
          </w:tblCellMar>
        </w:tblPrEx>
        <w:tc>
          <w:tcPr>
            <w:tcW w:w="1706" w:type="dxa"/>
            <w:vMerge/>
          </w:tcPr>
          <w:p w:rsidR="001B1535" w:rsidRDefault="001B1535" w:rsidP="003A43E6">
            <w:pPr>
              <w:widowControl w:val="0"/>
              <w:autoSpaceDE w:val="0"/>
              <w:autoSpaceDN w:val="0"/>
              <w:adjustRightInd w:val="0"/>
            </w:pPr>
          </w:p>
        </w:tc>
        <w:tc>
          <w:tcPr>
            <w:tcW w:w="1315" w:type="dxa"/>
          </w:tcPr>
          <w:p w:rsidR="001B1535" w:rsidRDefault="001B1535" w:rsidP="0066589F">
            <w:pPr>
              <w:widowControl w:val="0"/>
              <w:autoSpaceDE w:val="0"/>
              <w:autoSpaceDN w:val="0"/>
              <w:adjustRightInd w:val="0"/>
              <w:jc w:val="center"/>
            </w:pPr>
            <w:r>
              <w:t>3</w:t>
            </w:r>
            <w:r w:rsidRPr="00DC21C8">
              <w:rPr>
                <w:vertAlign w:val="superscript"/>
              </w:rPr>
              <w:t>rd</w:t>
            </w:r>
          </w:p>
        </w:tc>
        <w:tc>
          <w:tcPr>
            <w:tcW w:w="798" w:type="dxa"/>
          </w:tcPr>
          <w:p w:rsidR="001B1535" w:rsidRDefault="001B1535" w:rsidP="003A43E6">
            <w:pPr>
              <w:widowControl w:val="0"/>
              <w:autoSpaceDE w:val="0"/>
              <w:autoSpaceDN w:val="0"/>
              <w:adjustRightInd w:val="0"/>
            </w:pPr>
          </w:p>
        </w:tc>
        <w:tc>
          <w:tcPr>
            <w:tcW w:w="855" w:type="dxa"/>
          </w:tcPr>
          <w:p w:rsidR="001B1535" w:rsidRDefault="001B1535" w:rsidP="003A43E6">
            <w:pPr>
              <w:widowControl w:val="0"/>
              <w:autoSpaceDE w:val="0"/>
              <w:autoSpaceDN w:val="0"/>
              <w:adjustRightInd w:val="0"/>
            </w:pPr>
          </w:p>
        </w:tc>
        <w:tc>
          <w:tcPr>
            <w:tcW w:w="855" w:type="dxa"/>
          </w:tcPr>
          <w:p w:rsidR="001B1535" w:rsidRDefault="001B1535" w:rsidP="0066589F">
            <w:pPr>
              <w:widowControl w:val="0"/>
              <w:autoSpaceDE w:val="0"/>
              <w:autoSpaceDN w:val="0"/>
              <w:adjustRightInd w:val="0"/>
              <w:jc w:val="right"/>
            </w:pPr>
            <w:r>
              <w:t>20%</w:t>
            </w:r>
          </w:p>
        </w:tc>
        <w:tc>
          <w:tcPr>
            <w:tcW w:w="855" w:type="dxa"/>
          </w:tcPr>
          <w:p w:rsidR="001B1535" w:rsidRDefault="001B1535" w:rsidP="0066589F">
            <w:pPr>
              <w:widowControl w:val="0"/>
              <w:autoSpaceDE w:val="0"/>
              <w:autoSpaceDN w:val="0"/>
              <w:adjustRightInd w:val="0"/>
              <w:jc w:val="right"/>
            </w:pPr>
            <w:r>
              <w:t>10%</w:t>
            </w:r>
          </w:p>
        </w:tc>
        <w:tc>
          <w:tcPr>
            <w:tcW w:w="855" w:type="dxa"/>
          </w:tcPr>
          <w:p w:rsidR="001B1535" w:rsidRDefault="001B1535" w:rsidP="0066589F">
            <w:pPr>
              <w:widowControl w:val="0"/>
              <w:autoSpaceDE w:val="0"/>
              <w:autoSpaceDN w:val="0"/>
              <w:adjustRightInd w:val="0"/>
              <w:jc w:val="right"/>
            </w:pPr>
            <w:r>
              <w:t>5%</w:t>
            </w:r>
          </w:p>
        </w:tc>
      </w:tr>
      <w:tr w:rsidR="001B1535">
        <w:tblPrEx>
          <w:tblCellMar>
            <w:top w:w="0" w:type="dxa"/>
            <w:bottom w:w="0" w:type="dxa"/>
          </w:tblCellMar>
        </w:tblPrEx>
        <w:tc>
          <w:tcPr>
            <w:tcW w:w="1706" w:type="dxa"/>
            <w:vMerge/>
          </w:tcPr>
          <w:p w:rsidR="001B1535" w:rsidRDefault="001B1535" w:rsidP="003A43E6">
            <w:pPr>
              <w:widowControl w:val="0"/>
              <w:autoSpaceDE w:val="0"/>
              <w:autoSpaceDN w:val="0"/>
              <w:adjustRightInd w:val="0"/>
            </w:pPr>
          </w:p>
        </w:tc>
        <w:tc>
          <w:tcPr>
            <w:tcW w:w="1315" w:type="dxa"/>
          </w:tcPr>
          <w:p w:rsidR="001B1535" w:rsidRDefault="001B1535" w:rsidP="0066589F">
            <w:pPr>
              <w:widowControl w:val="0"/>
              <w:autoSpaceDE w:val="0"/>
              <w:autoSpaceDN w:val="0"/>
              <w:adjustRightInd w:val="0"/>
              <w:jc w:val="center"/>
            </w:pPr>
            <w:r>
              <w:t>4</w:t>
            </w:r>
            <w:r w:rsidRPr="00DC21C8">
              <w:rPr>
                <w:vertAlign w:val="superscript"/>
              </w:rPr>
              <w:t>th</w:t>
            </w:r>
          </w:p>
        </w:tc>
        <w:tc>
          <w:tcPr>
            <w:tcW w:w="798" w:type="dxa"/>
          </w:tcPr>
          <w:p w:rsidR="001B1535" w:rsidRDefault="001B1535" w:rsidP="003A43E6">
            <w:pPr>
              <w:widowControl w:val="0"/>
              <w:autoSpaceDE w:val="0"/>
              <w:autoSpaceDN w:val="0"/>
              <w:adjustRightInd w:val="0"/>
            </w:pPr>
          </w:p>
        </w:tc>
        <w:tc>
          <w:tcPr>
            <w:tcW w:w="855" w:type="dxa"/>
          </w:tcPr>
          <w:p w:rsidR="001B1535" w:rsidRDefault="001B1535" w:rsidP="003A43E6">
            <w:pPr>
              <w:widowControl w:val="0"/>
              <w:autoSpaceDE w:val="0"/>
              <w:autoSpaceDN w:val="0"/>
              <w:adjustRightInd w:val="0"/>
            </w:pPr>
          </w:p>
        </w:tc>
        <w:tc>
          <w:tcPr>
            <w:tcW w:w="855" w:type="dxa"/>
          </w:tcPr>
          <w:p w:rsidR="001B1535" w:rsidRDefault="001B1535" w:rsidP="003A43E6">
            <w:pPr>
              <w:widowControl w:val="0"/>
              <w:autoSpaceDE w:val="0"/>
              <w:autoSpaceDN w:val="0"/>
              <w:adjustRightInd w:val="0"/>
            </w:pPr>
          </w:p>
        </w:tc>
        <w:tc>
          <w:tcPr>
            <w:tcW w:w="855" w:type="dxa"/>
          </w:tcPr>
          <w:p w:rsidR="001B1535" w:rsidRDefault="001B1535" w:rsidP="0066589F">
            <w:pPr>
              <w:widowControl w:val="0"/>
              <w:autoSpaceDE w:val="0"/>
              <w:autoSpaceDN w:val="0"/>
              <w:adjustRightInd w:val="0"/>
              <w:jc w:val="right"/>
            </w:pPr>
            <w:r>
              <w:t>20%</w:t>
            </w:r>
          </w:p>
        </w:tc>
        <w:tc>
          <w:tcPr>
            <w:tcW w:w="855" w:type="dxa"/>
          </w:tcPr>
          <w:p w:rsidR="001B1535" w:rsidRDefault="001B1535" w:rsidP="0066589F">
            <w:pPr>
              <w:widowControl w:val="0"/>
              <w:autoSpaceDE w:val="0"/>
              <w:autoSpaceDN w:val="0"/>
              <w:adjustRightInd w:val="0"/>
              <w:jc w:val="right"/>
            </w:pPr>
            <w:r>
              <w:t>10%</w:t>
            </w:r>
          </w:p>
        </w:tc>
      </w:tr>
      <w:tr w:rsidR="001B1535">
        <w:tblPrEx>
          <w:tblCellMar>
            <w:top w:w="0" w:type="dxa"/>
            <w:bottom w:w="0" w:type="dxa"/>
          </w:tblCellMar>
        </w:tblPrEx>
        <w:tc>
          <w:tcPr>
            <w:tcW w:w="1706" w:type="dxa"/>
            <w:vMerge/>
          </w:tcPr>
          <w:p w:rsidR="001B1535" w:rsidRDefault="001B1535" w:rsidP="003A43E6">
            <w:pPr>
              <w:widowControl w:val="0"/>
              <w:autoSpaceDE w:val="0"/>
              <w:autoSpaceDN w:val="0"/>
              <w:adjustRightInd w:val="0"/>
            </w:pPr>
          </w:p>
        </w:tc>
        <w:tc>
          <w:tcPr>
            <w:tcW w:w="1315" w:type="dxa"/>
          </w:tcPr>
          <w:p w:rsidR="001B1535" w:rsidRDefault="001B1535" w:rsidP="0066589F">
            <w:pPr>
              <w:widowControl w:val="0"/>
              <w:autoSpaceDE w:val="0"/>
              <w:autoSpaceDN w:val="0"/>
              <w:adjustRightInd w:val="0"/>
              <w:jc w:val="center"/>
            </w:pPr>
            <w:r>
              <w:t>5</w:t>
            </w:r>
            <w:r w:rsidRPr="00DC21C8">
              <w:rPr>
                <w:vertAlign w:val="superscript"/>
              </w:rPr>
              <w:t>th</w:t>
            </w:r>
          </w:p>
        </w:tc>
        <w:tc>
          <w:tcPr>
            <w:tcW w:w="798" w:type="dxa"/>
          </w:tcPr>
          <w:p w:rsidR="001B1535" w:rsidRDefault="001B1535" w:rsidP="003A43E6">
            <w:pPr>
              <w:widowControl w:val="0"/>
              <w:autoSpaceDE w:val="0"/>
              <w:autoSpaceDN w:val="0"/>
              <w:adjustRightInd w:val="0"/>
            </w:pPr>
          </w:p>
        </w:tc>
        <w:tc>
          <w:tcPr>
            <w:tcW w:w="855" w:type="dxa"/>
          </w:tcPr>
          <w:p w:rsidR="001B1535" w:rsidRDefault="001B1535" w:rsidP="003A43E6">
            <w:pPr>
              <w:widowControl w:val="0"/>
              <w:autoSpaceDE w:val="0"/>
              <w:autoSpaceDN w:val="0"/>
              <w:adjustRightInd w:val="0"/>
            </w:pPr>
          </w:p>
        </w:tc>
        <w:tc>
          <w:tcPr>
            <w:tcW w:w="855" w:type="dxa"/>
          </w:tcPr>
          <w:p w:rsidR="001B1535" w:rsidRDefault="001B1535" w:rsidP="003A43E6">
            <w:pPr>
              <w:widowControl w:val="0"/>
              <w:autoSpaceDE w:val="0"/>
              <w:autoSpaceDN w:val="0"/>
              <w:adjustRightInd w:val="0"/>
            </w:pPr>
          </w:p>
        </w:tc>
        <w:tc>
          <w:tcPr>
            <w:tcW w:w="855" w:type="dxa"/>
          </w:tcPr>
          <w:p w:rsidR="001B1535" w:rsidRDefault="001B1535" w:rsidP="003A43E6">
            <w:pPr>
              <w:widowControl w:val="0"/>
              <w:autoSpaceDE w:val="0"/>
              <w:autoSpaceDN w:val="0"/>
              <w:adjustRightInd w:val="0"/>
            </w:pPr>
          </w:p>
        </w:tc>
        <w:tc>
          <w:tcPr>
            <w:tcW w:w="855" w:type="dxa"/>
          </w:tcPr>
          <w:p w:rsidR="001B1535" w:rsidRDefault="001B1535" w:rsidP="0066589F">
            <w:pPr>
              <w:widowControl w:val="0"/>
              <w:autoSpaceDE w:val="0"/>
              <w:autoSpaceDN w:val="0"/>
              <w:adjustRightInd w:val="0"/>
              <w:jc w:val="right"/>
            </w:pPr>
            <w:r>
              <w:t>20%</w:t>
            </w:r>
          </w:p>
        </w:tc>
      </w:tr>
    </w:tbl>
    <w:p w:rsidR="00D87D82" w:rsidRDefault="00D87D82" w:rsidP="003A43E6">
      <w:pPr>
        <w:widowControl w:val="0"/>
        <w:autoSpaceDE w:val="0"/>
        <w:autoSpaceDN w:val="0"/>
        <w:adjustRightInd w:val="0"/>
        <w:ind w:left="1440" w:hanging="720"/>
      </w:pPr>
    </w:p>
    <w:p w:rsidR="003A43E6" w:rsidRDefault="003A43E6" w:rsidP="003A43E6">
      <w:pPr>
        <w:widowControl w:val="0"/>
        <w:autoSpaceDE w:val="0"/>
        <w:autoSpaceDN w:val="0"/>
        <w:adjustRightInd w:val="0"/>
      </w:pPr>
      <w:r>
        <w:t>After the 5</w:t>
      </w:r>
      <w:r w:rsidR="0066589F" w:rsidRPr="0066589F">
        <w:rPr>
          <w:vertAlign w:val="superscript"/>
        </w:rPr>
        <w:t>th</w:t>
      </w:r>
      <w:r w:rsidR="0066589F">
        <w:t xml:space="preserve"> </w:t>
      </w:r>
      <w:r>
        <w:t xml:space="preserve">year crop, additional organic nitrogen is not expected to be available to the crops from the sludge which was applied more than 5 years past. </w:t>
      </w:r>
    </w:p>
    <w:sectPr w:rsidR="003A43E6" w:rsidSect="003A4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3E6"/>
    <w:rsid w:val="000E338F"/>
    <w:rsid w:val="001B1535"/>
    <w:rsid w:val="002F371B"/>
    <w:rsid w:val="003A43E6"/>
    <w:rsid w:val="005C3366"/>
    <w:rsid w:val="0066589F"/>
    <w:rsid w:val="00776BDA"/>
    <w:rsid w:val="008316F3"/>
    <w:rsid w:val="00A73F34"/>
    <w:rsid w:val="00D87D82"/>
    <w:rsid w:val="00DC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cp:lastPrinted>2003-03-06T15:47:00Z</cp:lastPrinted>
  <dcterms:created xsi:type="dcterms:W3CDTF">2012-06-21T20:49:00Z</dcterms:created>
  <dcterms:modified xsi:type="dcterms:W3CDTF">2012-06-21T20:49:00Z</dcterms:modified>
</cp:coreProperties>
</file>