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FE" w:rsidRDefault="007508FE" w:rsidP="007508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08FE" w:rsidRDefault="007508FE" w:rsidP="007508FE">
      <w:pPr>
        <w:widowControl w:val="0"/>
        <w:autoSpaceDE w:val="0"/>
        <w:autoSpaceDN w:val="0"/>
        <w:adjustRightInd w:val="0"/>
        <w:jc w:val="center"/>
      </w:pPr>
      <w:r>
        <w:t>SUBPART B:  PERMIT REQUIREMENTS FOR SLUDGE GENERATORS,</w:t>
      </w:r>
    </w:p>
    <w:p w:rsidR="007508FE" w:rsidRDefault="007508FE" w:rsidP="007508FE">
      <w:pPr>
        <w:widowControl w:val="0"/>
        <w:autoSpaceDE w:val="0"/>
        <w:autoSpaceDN w:val="0"/>
        <w:adjustRightInd w:val="0"/>
        <w:jc w:val="center"/>
      </w:pPr>
      <w:r>
        <w:t>DISTRIBUTORS AND USERS</w:t>
      </w:r>
    </w:p>
    <w:sectPr w:rsidR="007508FE" w:rsidSect="007508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8FE"/>
    <w:rsid w:val="000F0C65"/>
    <w:rsid w:val="001B2791"/>
    <w:rsid w:val="003D0774"/>
    <w:rsid w:val="005C3366"/>
    <w:rsid w:val="0075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PERMIT REQUIREMENTS FOR SLUDGE GENERATORS,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PERMIT REQUIREMENTS FOR SLUDGE GENERATORS,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