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50" w:rsidRDefault="002D6450" w:rsidP="002D6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450" w:rsidRDefault="002D6450" w:rsidP="002D64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374.207  Marked Sewer Lines</w:t>
      </w:r>
      <w:r>
        <w:t xml:space="preserve"> </w:t>
      </w:r>
    </w:p>
    <w:p w:rsidR="002D6450" w:rsidRDefault="002D6450" w:rsidP="002D6450">
      <w:pPr>
        <w:widowControl w:val="0"/>
        <w:autoSpaceDE w:val="0"/>
        <w:autoSpaceDN w:val="0"/>
        <w:adjustRightInd w:val="0"/>
      </w:pPr>
    </w:p>
    <w:p w:rsidR="002D6450" w:rsidRDefault="002D6450" w:rsidP="002D6450">
      <w:pPr>
        <w:widowControl w:val="0"/>
        <w:autoSpaceDE w:val="0"/>
        <w:autoSpaceDN w:val="0"/>
        <w:adjustRightInd w:val="0"/>
      </w:pPr>
      <w:r>
        <w:t xml:space="preserve">Where polyvinyl chloride (PVC) pressure mains are to be installed in the vicinity of similar water supply lines, the sewer line should be clearly marked to prevent possible future cross-connections. </w:t>
      </w:r>
    </w:p>
    <w:p w:rsidR="002D6450" w:rsidRDefault="002D6450" w:rsidP="002D6450">
      <w:pPr>
        <w:widowControl w:val="0"/>
        <w:autoSpaceDE w:val="0"/>
        <w:autoSpaceDN w:val="0"/>
        <w:adjustRightInd w:val="0"/>
      </w:pPr>
    </w:p>
    <w:p w:rsidR="002D6450" w:rsidRDefault="002D6450" w:rsidP="002D64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12439, effective August 28, 1997) </w:t>
      </w:r>
    </w:p>
    <w:sectPr w:rsidR="002D6450" w:rsidSect="002D6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450"/>
    <w:rsid w:val="002D6450"/>
    <w:rsid w:val="003A5571"/>
    <w:rsid w:val="005C3366"/>
    <w:rsid w:val="009741FA"/>
    <w:rsid w:val="00A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