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79" w:rsidRDefault="00746B79" w:rsidP="00746B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B79" w:rsidRDefault="00746B79" w:rsidP="00746B79">
      <w:pPr>
        <w:widowControl w:val="0"/>
        <w:autoSpaceDE w:val="0"/>
        <w:autoSpaceDN w:val="0"/>
        <w:adjustRightInd w:val="0"/>
      </w:pPr>
      <w:r>
        <w:t xml:space="preserve">AUTHORITY:  Implementing and authorized by the Illinois Lake Management Program Act [525 ILCS 25] and Section 6z-31 of the State Finance Act [30 ILCS 105/6z-31]. </w:t>
      </w:r>
    </w:p>
    <w:sectPr w:rsidR="00746B79" w:rsidSect="00746B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B79"/>
    <w:rsid w:val="002C17B6"/>
    <w:rsid w:val="005123DF"/>
    <w:rsid w:val="005C3366"/>
    <w:rsid w:val="00746B79"/>
    <w:rsid w:val="008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Lake Management Program Act [525 ILCS 25] and Section 6z-31 of the Sta</vt:lpstr>
    </vt:vector>
  </TitlesOfParts>
  <Company>General Assembly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Lake Management Program Act [525 ILCS 25] and Section 6z-31 of the Sta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