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1A" w:rsidRDefault="00B7371A" w:rsidP="00B7371A">
      <w:pPr>
        <w:widowControl w:val="0"/>
        <w:autoSpaceDE w:val="0"/>
        <w:autoSpaceDN w:val="0"/>
        <w:adjustRightInd w:val="0"/>
      </w:pPr>
      <w:bookmarkStart w:id="0" w:name="_GoBack"/>
      <w:bookmarkEnd w:id="0"/>
    </w:p>
    <w:p w:rsidR="00B7371A" w:rsidRDefault="00B7371A" w:rsidP="00B7371A">
      <w:pPr>
        <w:widowControl w:val="0"/>
        <w:autoSpaceDE w:val="0"/>
        <w:autoSpaceDN w:val="0"/>
        <w:adjustRightInd w:val="0"/>
      </w:pPr>
      <w:r>
        <w:rPr>
          <w:b/>
          <w:bCs/>
        </w:rPr>
        <w:t>Section 366.203  A2 Factor (Water Quality)</w:t>
      </w:r>
      <w:r>
        <w:t xml:space="preserve"> </w:t>
      </w:r>
    </w:p>
    <w:p w:rsidR="00B7371A" w:rsidRDefault="00B7371A" w:rsidP="00B7371A">
      <w:pPr>
        <w:widowControl w:val="0"/>
        <w:autoSpaceDE w:val="0"/>
        <w:autoSpaceDN w:val="0"/>
        <w:adjustRightInd w:val="0"/>
      </w:pPr>
    </w:p>
    <w:p w:rsidR="00B7371A" w:rsidRDefault="00B7371A" w:rsidP="00B7371A">
      <w:pPr>
        <w:widowControl w:val="0"/>
        <w:autoSpaceDE w:val="0"/>
        <w:autoSpaceDN w:val="0"/>
        <w:adjustRightInd w:val="0"/>
      </w:pPr>
      <w:r>
        <w:t xml:space="preserve">A2 is a factor that evaluates the water quality of the receiving waterbody or proposed receiving waterbody.  These water quality evaluations are based on current waterbody specific information.  A combination of biotic integrity information and abiotic data from three categories are used in A2 calculations when available.  These categories include the Index of Biotic Integrity (IBI), the Predicted Index of Biotic Integrity (PIBI), and the Degree of Use Support (DUS).  As a result, those stream reaches resulting in the highest priority are those with the highest quality and potential for improvement (see Appendix A).  A2 calculations for stream reaches (as defined by USEPA REACH file) are derived by: </w:t>
      </w:r>
    </w:p>
    <w:p w:rsidR="00B7371A" w:rsidRDefault="00B7371A" w:rsidP="00B7371A">
      <w:pPr>
        <w:widowControl w:val="0"/>
        <w:autoSpaceDE w:val="0"/>
        <w:autoSpaceDN w:val="0"/>
        <w:adjustRightInd w:val="0"/>
      </w:pPr>
    </w:p>
    <w:p w:rsidR="00B7371A" w:rsidRDefault="00B7371A" w:rsidP="00B7371A">
      <w:pPr>
        <w:widowControl w:val="0"/>
        <w:autoSpaceDE w:val="0"/>
        <w:autoSpaceDN w:val="0"/>
        <w:adjustRightInd w:val="0"/>
      </w:pPr>
    </w:p>
    <w:tbl>
      <w:tblPr>
        <w:tblW w:w="0" w:type="auto"/>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1320"/>
        <w:gridCol w:w="5007"/>
        <w:gridCol w:w="1083"/>
      </w:tblGrid>
      <w:tr w:rsidR="00210CFE">
        <w:tblPrEx>
          <w:tblCellMar>
            <w:top w:w="0" w:type="dxa"/>
            <w:left w:w="0" w:type="dxa"/>
            <w:bottom w:w="0" w:type="dxa"/>
            <w:right w:w="0" w:type="dxa"/>
          </w:tblCellMar>
        </w:tblPrEx>
        <w:tc>
          <w:tcPr>
            <w:tcW w:w="1320" w:type="dxa"/>
            <w:tcBorders>
              <w:top w:val="nil"/>
              <w:left w:val="nil"/>
              <w:bottom w:val="nil"/>
              <w:right w:val="nil"/>
            </w:tcBorders>
          </w:tcPr>
          <w:p w:rsidR="00210CFE" w:rsidRDefault="00210CFE" w:rsidP="00B7371A">
            <w:pPr>
              <w:widowControl w:val="0"/>
              <w:autoSpaceDE w:val="0"/>
              <w:autoSpaceDN w:val="0"/>
              <w:adjustRightInd w:val="0"/>
            </w:pPr>
            <w:r>
              <w:t>A2 = 100</w:t>
            </w:r>
          </w:p>
        </w:tc>
        <w:tc>
          <w:tcPr>
            <w:tcW w:w="5007" w:type="dxa"/>
            <w:tcBorders>
              <w:top w:val="nil"/>
              <w:left w:val="nil"/>
              <w:bottom w:val="single" w:sz="4" w:space="0" w:color="auto"/>
              <w:right w:val="nil"/>
            </w:tcBorders>
          </w:tcPr>
          <w:p w:rsidR="00210CFE" w:rsidRDefault="00210CFE" w:rsidP="00B7371A">
            <w:pPr>
              <w:widowControl w:val="0"/>
              <w:autoSpaceDE w:val="0"/>
              <w:autoSpaceDN w:val="0"/>
              <w:adjustRightInd w:val="0"/>
            </w:pPr>
            <w:r>
              <w:t>∑ points from IBI, PIBI, DUS categories</w:t>
            </w:r>
          </w:p>
        </w:tc>
        <w:tc>
          <w:tcPr>
            <w:tcW w:w="1083" w:type="dxa"/>
            <w:tcBorders>
              <w:top w:val="nil"/>
              <w:left w:val="nil"/>
              <w:bottom w:val="nil"/>
              <w:right w:val="nil"/>
            </w:tcBorders>
          </w:tcPr>
          <w:p w:rsidR="00210CFE" w:rsidRDefault="00210CFE" w:rsidP="00210CFE">
            <w:pPr>
              <w:widowControl w:val="0"/>
              <w:autoSpaceDE w:val="0"/>
              <w:autoSpaceDN w:val="0"/>
              <w:adjustRightInd w:val="0"/>
              <w:ind w:left="263"/>
            </w:pPr>
            <w:r>
              <w:t>÷ 5</w:t>
            </w:r>
          </w:p>
        </w:tc>
      </w:tr>
      <w:tr w:rsidR="00210CFE">
        <w:tblPrEx>
          <w:tblCellMar>
            <w:top w:w="0" w:type="dxa"/>
            <w:left w:w="0" w:type="dxa"/>
            <w:bottom w:w="0" w:type="dxa"/>
            <w:right w:w="0" w:type="dxa"/>
          </w:tblCellMar>
        </w:tblPrEx>
        <w:tc>
          <w:tcPr>
            <w:tcW w:w="1320" w:type="dxa"/>
            <w:tcBorders>
              <w:top w:val="nil"/>
              <w:left w:val="nil"/>
              <w:bottom w:val="nil"/>
              <w:right w:val="nil"/>
            </w:tcBorders>
          </w:tcPr>
          <w:p w:rsidR="00210CFE" w:rsidRDefault="00210CFE" w:rsidP="00B7371A">
            <w:pPr>
              <w:widowControl w:val="0"/>
              <w:autoSpaceDE w:val="0"/>
              <w:autoSpaceDN w:val="0"/>
              <w:adjustRightInd w:val="0"/>
            </w:pPr>
          </w:p>
        </w:tc>
        <w:tc>
          <w:tcPr>
            <w:tcW w:w="5007" w:type="dxa"/>
            <w:tcBorders>
              <w:top w:val="single" w:sz="4" w:space="0" w:color="auto"/>
              <w:left w:val="nil"/>
              <w:bottom w:val="nil"/>
              <w:right w:val="nil"/>
            </w:tcBorders>
          </w:tcPr>
          <w:p w:rsidR="00210CFE" w:rsidRDefault="00210CFE" w:rsidP="00B7371A">
            <w:pPr>
              <w:widowControl w:val="0"/>
              <w:autoSpaceDE w:val="0"/>
              <w:autoSpaceDN w:val="0"/>
              <w:adjustRightInd w:val="0"/>
            </w:pPr>
            <w:r>
              <w:t>∑ maximum possible points for each category</w:t>
            </w:r>
          </w:p>
        </w:tc>
        <w:tc>
          <w:tcPr>
            <w:tcW w:w="1083" w:type="dxa"/>
            <w:tcBorders>
              <w:top w:val="nil"/>
              <w:left w:val="nil"/>
              <w:bottom w:val="nil"/>
              <w:right w:val="nil"/>
            </w:tcBorders>
          </w:tcPr>
          <w:p w:rsidR="00210CFE" w:rsidRDefault="00210CFE" w:rsidP="00B7371A">
            <w:pPr>
              <w:widowControl w:val="0"/>
              <w:autoSpaceDE w:val="0"/>
              <w:autoSpaceDN w:val="0"/>
              <w:adjustRightInd w:val="0"/>
            </w:pPr>
          </w:p>
        </w:tc>
      </w:tr>
    </w:tbl>
    <w:p w:rsidR="00B7371A" w:rsidRDefault="00B7371A" w:rsidP="00B7371A">
      <w:pPr>
        <w:widowControl w:val="0"/>
        <w:autoSpaceDE w:val="0"/>
        <w:autoSpaceDN w:val="0"/>
        <w:adjustRightInd w:val="0"/>
      </w:pPr>
      <w:r>
        <w:t xml:space="preserve"> </w:t>
      </w:r>
    </w:p>
    <w:sectPr w:rsidR="00B7371A" w:rsidSect="00B737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371A"/>
    <w:rsid w:val="00136C3E"/>
    <w:rsid w:val="00210CFE"/>
    <w:rsid w:val="0024099A"/>
    <w:rsid w:val="005C3366"/>
    <w:rsid w:val="007C21E8"/>
    <w:rsid w:val="00B7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