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6E" w:rsidRDefault="000B506E" w:rsidP="000B50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506E" w:rsidRDefault="000B506E" w:rsidP="000B506E">
      <w:pPr>
        <w:widowControl w:val="0"/>
        <w:autoSpaceDE w:val="0"/>
        <w:autoSpaceDN w:val="0"/>
        <w:adjustRightInd w:val="0"/>
        <w:jc w:val="center"/>
      </w:pPr>
      <w:r>
        <w:t>SUBPART B:  PROCEDURES FOR ISSUANCE OF</w:t>
      </w:r>
    </w:p>
    <w:p w:rsidR="000B506E" w:rsidRDefault="000B506E" w:rsidP="000B506E">
      <w:pPr>
        <w:widowControl w:val="0"/>
        <w:autoSpaceDE w:val="0"/>
        <w:autoSpaceDN w:val="0"/>
        <w:adjustRightInd w:val="0"/>
        <w:jc w:val="center"/>
      </w:pPr>
      <w:r>
        <w:t>STEP 2 + 3 OR STEP 3 GRANTS</w:t>
      </w:r>
    </w:p>
    <w:sectPr w:rsidR="000B506E" w:rsidSect="000B50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06E"/>
    <w:rsid w:val="000B506E"/>
    <w:rsid w:val="005C3366"/>
    <w:rsid w:val="006214B3"/>
    <w:rsid w:val="00C1746E"/>
    <w:rsid w:val="00C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ISSUANCE OF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ISSUANCE OF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