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BC" w:rsidRDefault="000A6FBC" w:rsidP="000A6F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FBC" w:rsidRDefault="000A6FBC" w:rsidP="000A6FBC">
      <w:pPr>
        <w:widowControl w:val="0"/>
        <w:autoSpaceDE w:val="0"/>
        <w:autoSpaceDN w:val="0"/>
        <w:adjustRightInd w:val="0"/>
        <w:jc w:val="center"/>
      </w:pPr>
      <w:r>
        <w:t>SUBPART G:  EFFLUENT LIMITS BELOW THE LEVEL OF QUANTIFICATION</w:t>
      </w:r>
    </w:p>
    <w:sectPr w:rsidR="000A6FBC" w:rsidSect="000A6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FBC"/>
    <w:rsid w:val="000A6FBC"/>
    <w:rsid w:val="00212C0B"/>
    <w:rsid w:val="003E31AE"/>
    <w:rsid w:val="005C3366"/>
    <w:rsid w:val="00D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EFFLUENT LIMITS BELOW THE LEVEL OF QUANTIFICATION</vt:lpstr>
    </vt:vector>
  </TitlesOfParts>
  <Company>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EFFLUENT LIMITS BELOW THE LEVEL OF QUANTIFICATION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