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2B" w:rsidRDefault="0060562B" w:rsidP="00D6193B">
      <w:pPr>
        <w:rPr>
          <w:rFonts w:eastAsia="MS Mincho"/>
        </w:rPr>
      </w:pPr>
      <w:bookmarkStart w:id="0" w:name="_GoBack"/>
      <w:bookmarkEnd w:id="0"/>
    </w:p>
    <w:p w:rsidR="00D6193B" w:rsidRPr="0060562B" w:rsidRDefault="00D6193B" w:rsidP="00D6193B">
      <w:pPr>
        <w:rPr>
          <w:rFonts w:eastAsia="MS Mincho"/>
          <w:b/>
        </w:rPr>
      </w:pPr>
      <w:r w:rsidRPr="0060562B">
        <w:rPr>
          <w:rFonts w:eastAsia="MS Mincho"/>
          <w:b/>
        </w:rPr>
        <w:t>Section 325.425  Due Dates</w:t>
      </w:r>
    </w:p>
    <w:p w:rsidR="00D6193B" w:rsidRPr="00D6193B" w:rsidRDefault="00D6193B" w:rsidP="00D6193B">
      <w:pPr>
        <w:rPr>
          <w:rFonts w:eastAsia="MS Mincho"/>
        </w:rPr>
      </w:pPr>
    </w:p>
    <w:p w:rsidR="00D6193B" w:rsidRPr="00D6193B" w:rsidRDefault="00D6193B" w:rsidP="00D6193B">
      <w:pPr>
        <w:rPr>
          <w:rFonts w:eastAsia="MS Mincho"/>
        </w:rPr>
      </w:pPr>
      <w:r w:rsidRPr="00D6193B">
        <w:rPr>
          <w:rFonts w:eastAsia="MS Mincho"/>
        </w:rPr>
        <w:t>All annual fees due under this Part must be received by the due date indicated in the annual fee notice to avoid accrual of interest charges.</w:t>
      </w:r>
    </w:p>
    <w:sectPr w:rsidR="00D6193B" w:rsidRPr="00D6193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90C" w:rsidRDefault="00E5190C">
      <w:r>
        <w:separator/>
      </w:r>
    </w:p>
  </w:endnote>
  <w:endnote w:type="continuationSeparator" w:id="0">
    <w:p w:rsidR="00E5190C" w:rsidRDefault="00E5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90C" w:rsidRDefault="00E5190C">
      <w:r>
        <w:separator/>
      </w:r>
    </w:p>
  </w:footnote>
  <w:footnote w:type="continuationSeparator" w:id="0">
    <w:p w:rsidR="00E5190C" w:rsidRDefault="00E51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193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27D0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0562B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5ED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63EE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193B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190C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D6193B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D6193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