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BC" w:rsidRDefault="00C506BC" w:rsidP="00C506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6BC" w:rsidRDefault="00C506BC" w:rsidP="00C506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310.906  User Responsibility in Case of Upset</w:t>
      </w:r>
      <w:r>
        <w:t xml:space="preserve"> </w:t>
      </w:r>
    </w:p>
    <w:p w:rsidR="00C506BC" w:rsidRDefault="00C506BC" w:rsidP="00C506BC">
      <w:pPr>
        <w:widowControl w:val="0"/>
        <w:autoSpaceDE w:val="0"/>
        <w:autoSpaceDN w:val="0"/>
        <w:adjustRightInd w:val="0"/>
      </w:pPr>
    </w:p>
    <w:p w:rsidR="00C506BC" w:rsidRDefault="00C506BC" w:rsidP="00C506BC">
      <w:pPr>
        <w:widowControl w:val="0"/>
        <w:autoSpaceDE w:val="0"/>
        <w:autoSpaceDN w:val="0"/>
        <w:adjustRightInd w:val="0"/>
      </w:pPr>
      <w:r>
        <w:t xml:space="preserve">The industrial user </w:t>
      </w:r>
      <w:r w:rsidR="00A06554">
        <w:t xml:space="preserve">must </w:t>
      </w:r>
      <w:r>
        <w:t>control production or all discharges to the extent necessary to maintain compliance with categorical pretreatment standards upon reduction, loss</w:t>
      </w:r>
      <w:r w:rsidR="00611A60">
        <w:t>,</w:t>
      </w:r>
      <w:r>
        <w:t xml:space="preserve"> or failure of its treatment facility until the facility is restored or</w:t>
      </w:r>
      <w:r w:rsidR="00611A60">
        <w:t xml:space="preserve"> an alternative method of treat</w:t>
      </w:r>
      <w:r>
        <w:t>ment is provided.  This requirement applies in the situation where, among other things, the primary source of power of the treatment facility is reduced, lost</w:t>
      </w:r>
      <w:r w:rsidR="00611A60">
        <w:t>,</w:t>
      </w:r>
      <w:r>
        <w:t xml:space="preserve"> or fails. </w:t>
      </w:r>
    </w:p>
    <w:p w:rsidR="00841A60" w:rsidRDefault="00841A60" w:rsidP="00C506BC">
      <w:pPr>
        <w:widowControl w:val="0"/>
        <w:autoSpaceDE w:val="0"/>
        <w:autoSpaceDN w:val="0"/>
        <w:adjustRightInd w:val="0"/>
      </w:pPr>
    </w:p>
    <w:p w:rsidR="00C506BC" w:rsidRDefault="00A06554" w:rsidP="00C506BC">
      <w:pPr>
        <w:widowControl w:val="0"/>
        <w:autoSpaceDE w:val="0"/>
        <w:autoSpaceDN w:val="0"/>
        <w:adjustRightInd w:val="0"/>
      </w:pPr>
      <w:r>
        <w:t>BOARD NOTE:</w:t>
      </w:r>
      <w:r w:rsidR="00C506BC">
        <w:t xml:space="preserve">  Derived from 40 CFR 403.16(f) </w:t>
      </w:r>
      <w:r>
        <w:t>(2003).</w:t>
      </w:r>
      <w:r w:rsidR="00C506BC">
        <w:t xml:space="preserve"> </w:t>
      </w:r>
    </w:p>
    <w:p w:rsidR="00A06554" w:rsidRDefault="00A06554" w:rsidP="00C506BC">
      <w:pPr>
        <w:widowControl w:val="0"/>
        <w:autoSpaceDE w:val="0"/>
        <w:autoSpaceDN w:val="0"/>
        <w:adjustRightInd w:val="0"/>
      </w:pPr>
    </w:p>
    <w:p w:rsidR="00A06554" w:rsidRDefault="00A06554">
      <w:pPr>
        <w:pStyle w:val="JCARSourceNote"/>
        <w:ind w:firstLine="720"/>
      </w:pPr>
      <w:r>
        <w:t xml:space="preserve">(Source:  Amended at 28 Ill. Reg. </w:t>
      </w:r>
      <w:r w:rsidR="000C31FB">
        <w:t>3390</w:t>
      </w:r>
      <w:r>
        <w:t xml:space="preserve">, effective </w:t>
      </w:r>
      <w:r w:rsidR="00A71D45">
        <w:t>February 6, 2004</w:t>
      </w:r>
      <w:r>
        <w:t>)</w:t>
      </w:r>
    </w:p>
    <w:sectPr w:rsidR="00A06554" w:rsidSect="00C506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6BC"/>
    <w:rsid w:val="000C31FB"/>
    <w:rsid w:val="003F66A4"/>
    <w:rsid w:val="005560E9"/>
    <w:rsid w:val="005C3366"/>
    <w:rsid w:val="00611A60"/>
    <w:rsid w:val="00733212"/>
    <w:rsid w:val="00841A60"/>
    <w:rsid w:val="00A06554"/>
    <w:rsid w:val="00A71D45"/>
    <w:rsid w:val="00A87D84"/>
    <w:rsid w:val="00C36538"/>
    <w:rsid w:val="00C5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6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