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413B" w14:textId="77777777" w:rsidR="00C4097D" w:rsidRDefault="00C4097D" w:rsidP="00C4097D">
      <w:pPr>
        <w:widowControl w:val="0"/>
        <w:autoSpaceDE w:val="0"/>
        <w:autoSpaceDN w:val="0"/>
        <w:adjustRightInd w:val="0"/>
      </w:pPr>
    </w:p>
    <w:p w14:paraId="745F6EB7" w14:textId="77777777" w:rsidR="00C4097D" w:rsidRDefault="00C4097D" w:rsidP="00C409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304.209  Wood River Station Total Suspended Solids Discharges</w:t>
      </w:r>
      <w:r>
        <w:t xml:space="preserve"> </w:t>
      </w:r>
    </w:p>
    <w:p w14:paraId="0C274D1B" w14:textId="77777777" w:rsidR="00C4097D" w:rsidRDefault="00C4097D" w:rsidP="00C4097D">
      <w:pPr>
        <w:widowControl w:val="0"/>
        <w:autoSpaceDE w:val="0"/>
        <w:autoSpaceDN w:val="0"/>
        <w:adjustRightInd w:val="0"/>
      </w:pPr>
    </w:p>
    <w:p w14:paraId="5AC5CA91" w14:textId="563DCD8C" w:rsidR="00C4097D" w:rsidRDefault="00C4097D" w:rsidP="00C4097D">
      <w:pPr>
        <w:widowControl w:val="0"/>
        <w:autoSpaceDE w:val="0"/>
        <w:autoSpaceDN w:val="0"/>
        <w:adjustRightInd w:val="0"/>
      </w:pPr>
      <w:r>
        <w:t xml:space="preserve">The limitation on the discharge of Total Suspended Solids contained in Section 304.124(a) </w:t>
      </w:r>
      <w:r w:rsidR="004E765F">
        <w:t>does</w:t>
      </w:r>
      <w:r>
        <w:t xml:space="preserve"> not apply to the discharge from the ash pond system of </w:t>
      </w:r>
      <w:r w:rsidR="004E765F">
        <w:t>CTI Development LLC's</w:t>
      </w:r>
      <w:r>
        <w:t xml:space="preserve"> Wood River Station, located in East Alton, Illinois.  Instead, the concentration of Total Suspended Solids </w:t>
      </w:r>
      <w:r w:rsidR="008025DE">
        <w:t>must</w:t>
      </w:r>
      <w:r>
        <w:t xml:space="preserve"> not exceed 30 </w:t>
      </w:r>
      <w:r w:rsidR="00080498">
        <w:t>mg/L</w:t>
      </w:r>
      <w:r>
        <w:t xml:space="preserve"> as an average of daily values for </w:t>
      </w:r>
      <w:r w:rsidR="004E765F">
        <w:t>30</w:t>
      </w:r>
      <w:r>
        <w:t xml:space="preserve"> consecutive days and </w:t>
      </w:r>
      <w:r w:rsidR="004E765F">
        <w:t>must</w:t>
      </w:r>
      <w:r>
        <w:t xml:space="preserve"> not exceed 50 </w:t>
      </w:r>
      <w:r w:rsidR="004E765F">
        <w:t>mg/L</w:t>
      </w:r>
      <w:r>
        <w:t xml:space="preserve"> as a maximum for any one day. </w:t>
      </w:r>
    </w:p>
    <w:p w14:paraId="70F8FAA2" w14:textId="77777777" w:rsidR="00C4097D" w:rsidRDefault="00C4097D" w:rsidP="00C4097D">
      <w:pPr>
        <w:widowControl w:val="0"/>
        <w:autoSpaceDE w:val="0"/>
        <w:autoSpaceDN w:val="0"/>
        <w:adjustRightInd w:val="0"/>
      </w:pPr>
    </w:p>
    <w:p w14:paraId="1AB41084" w14:textId="168575F4" w:rsidR="00C4097D" w:rsidRDefault="004E765F" w:rsidP="00C4097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42250">
        <w:t>7</w:t>
      </w:r>
      <w:r>
        <w:t xml:space="preserve"> Ill. Reg. </w:t>
      </w:r>
      <w:r w:rsidR="00324F26">
        <w:t>4601</w:t>
      </w:r>
      <w:r>
        <w:t xml:space="preserve">, effective </w:t>
      </w:r>
      <w:r w:rsidR="00324F26">
        <w:t>March 23, 2023</w:t>
      </w:r>
      <w:r>
        <w:t>)</w:t>
      </w:r>
    </w:p>
    <w:sectPr w:rsidR="00C4097D" w:rsidSect="00C409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097D"/>
    <w:rsid w:val="00080498"/>
    <w:rsid w:val="00110361"/>
    <w:rsid w:val="00324F26"/>
    <w:rsid w:val="00351B08"/>
    <w:rsid w:val="004E765F"/>
    <w:rsid w:val="00552E67"/>
    <w:rsid w:val="005C3366"/>
    <w:rsid w:val="008025DE"/>
    <w:rsid w:val="00B42250"/>
    <w:rsid w:val="00C4097D"/>
    <w:rsid w:val="00D6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D54734"/>
  <w15:docId w15:val="{51721713-C740-4468-928D-809F5C41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3</cp:revision>
  <dcterms:created xsi:type="dcterms:W3CDTF">2023-04-05T18:51:00Z</dcterms:created>
  <dcterms:modified xsi:type="dcterms:W3CDTF">2023-04-06T21:07:00Z</dcterms:modified>
</cp:coreProperties>
</file>