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0293" w14:textId="77777777" w:rsidR="00FA3E68" w:rsidRDefault="00FA3E68" w:rsidP="00FA3E68">
      <w:pPr>
        <w:widowControl w:val="0"/>
        <w:autoSpaceDE w:val="0"/>
        <w:autoSpaceDN w:val="0"/>
        <w:adjustRightInd w:val="0"/>
      </w:pPr>
    </w:p>
    <w:p w14:paraId="3C43BCF6" w14:textId="77777777" w:rsidR="00FA3E68" w:rsidRDefault="00FA3E68" w:rsidP="00FA3E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304.126  Mercury</w:t>
      </w:r>
      <w:proofErr w:type="gramEnd"/>
      <w:r>
        <w:t xml:space="preserve"> </w:t>
      </w:r>
    </w:p>
    <w:p w14:paraId="0DB4F114" w14:textId="77777777" w:rsidR="00FA3E68" w:rsidRDefault="00FA3E68" w:rsidP="00FA3E68">
      <w:pPr>
        <w:widowControl w:val="0"/>
        <w:autoSpaceDE w:val="0"/>
        <w:autoSpaceDN w:val="0"/>
        <w:adjustRightInd w:val="0"/>
      </w:pPr>
    </w:p>
    <w:p w14:paraId="71913938" w14:textId="5F438E39" w:rsidR="00FA3E68" w:rsidRDefault="00FA3E68" w:rsidP="00FA3E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below, </w:t>
      </w:r>
      <w:r w:rsidR="008656CD">
        <w:t>a</w:t>
      </w:r>
      <w:r>
        <w:t xml:space="preserve"> person </w:t>
      </w:r>
      <w:r w:rsidR="008656CD">
        <w:t>must not</w:t>
      </w:r>
      <w:r>
        <w:t xml:space="preserve"> cause or allow the concentration of mercury in any effluent to exceed the following level, subject to the averaging rule contained in Section 304.104(a). </w:t>
      </w:r>
    </w:p>
    <w:p w14:paraId="6B4D18F2" w14:textId="77777777" w:rsidR="00FA3E68" w:rsidRDefault="00FA3E68" w:rsidP="00884D8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ayout w:type="fixed"/>
        <w:tblLook w:val="0000" w:firstRow="0" w:lastRow="0" w:firstColumn="0" w:lastColumn="0" w:noHBand="0" w:noVBand="0"/>
      </w:tblPr>
      <w:tblGrid>
        <w:gridCol w:w="3249"/>
        <w:gridCol w:w="1824"/>
        <w:gridCol w:w="2964"/>
      </w:tblGrid>
      <w:tr w:rsidR="00A836AC" w14:paraId="02627BF0" w14:textId="77777777"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7C2E2A5" w14:textId="77777777" w:rsidR="00A836AC" w:rsidRDefault="00A836AC" w:rsidP="001D1A2F">
            <w:r>
              <w:t>CONSTITUENT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CEEE37A" w14:textId="40FAEC5A" w:rsidR="00A836AC" w:rsidRDefault="00A836AC" w:rsidP="001D1A2F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3997D24" w14:textId="754A1E5F" w:rsidR="00A836AC" w:rsidRDefault="00A836AC" w:rsidP="001D1A2F">
            <w:pPr>
              <w:jc w:val="center"/>
            </w:pPr>
            <w:r>
              <w:t xml:space="preserve">CONCENTRATION </w:t>
            </w:r>
            <w:r w:rsidR="008656CD">
              <w:t>mg/L</w:t>
            </w:r>
          </w:p>
        </w:tc>
      </w:tr>
      <w:tr w:rsidR="00A836AC" w14:paraId="0FF39541" w14:textId="77777777">
        <w:tc>
          <w:tcPr>
            <w:tcW w:w="3249" w:type="dxa"/>
          </w:tcPr>
          <w:p w14:paraId="17395FF6" w14:textId="77777777" w:rsidR="00A836AC" w:rsidRDefault="00A836AC" w:rsidP="001D1A2F"/>
        </w:tc>
        <w:tc>
          <w:tcPr>
            <w:tcW w:w="1824" w:type="dxa"/>
          </w:tcPr>
          <w:p w14:paraId="0F231592" w14:textId="77777777" w:rsidR="00A836AC" w:rsidRDefault="00A836AC" w:rsidP="001D1A2F">
            <w:pPr>
              <w:jc w:val="center"/>
            </w:pPr>
          </w:p>
        </w:tc>
        <w:tc>
          <w:tcPr>
            <w:tcW w:w="2964" w:type="dxa"/>
          </w:tcPr>
          <w:p w14:paraId="4FFF4B2B" w14:textId="77777777" w:rsidR="00A836AC" w:rsidRDefault="00A836AC" w:rsidP="001D1A2F">
            <w:pPr>
              <w:jc w:val="center"/>
            </w:pPr>
          </w:p>
        </w:tc>
      </w:tr>
      <w:tr w:rsidR="00A836AC" w14:paraId="7716F82B" w14:textId="77777777">
        <w:tc>
          <w:tcPr>
            <w:tcW w:w="3249" w:type="dxa"/>
          </w:tcPr>
          <w:p w14:paraId="0EB18FEB" w14:textId="77777777" w:rsidR="00A836AC" w:rsidRDefault="00A836AC" w:rsidP="001D1A2F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1824" w:type="dxa"/>
          </w:tcPr>
          <w:p w14:paraId="4CEAF1C7" w14:textId="377C0F02" w:rsidR="00A836AC" w:rsidRDefault="00A836AC" w:rsidP="00A836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4" w:type="dxa"/>
          </w:tcPr>
          <w:p w14:paraId="6C4A3D1A" w14:textId="77777777" w:rsidR="00A836AC" w:rsidRDefault="00A836AC" w:rsidP="00A83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0.0005</w:t>
            </w:r>
          </w:p>
        </w:tc>
      </w:tr>
    </w:tbl>
    <w:p w14:paraId="473B6ED9" w14:textId="77777777" w:rsidR="00A836AC" w:rsidRDefault="00A836AC" w:rsidP="00884D87">
      <w:pPr>
        <w:widowControl w:val="0"/>
        <w:autoSpaceDE w:val="0"/>
        <w:autoSpaceDN w:val="0"/>
        <w:adjustRightInd w:val="0"/>
      </w:pPr>
    </w:p>
    <w:p w14:paraId="4E1863F5" w14:textId="3B1F2050" w:rsidR="00FA3E68" w:rsidRDefault="00FA3E68" w:rsidP="00FA3E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656CD">
        <w:t>It is</w:t>
      </w:r>
      <w:r>
        <w:t xml:space="preserve"> an exception to </w:t>
      </w:r>
      <w:r w:rsidR="008656CD">
        <w:t>subsection</w:t>
      </w:r>
      <w:r>
        <w:t xml:space="preserve"> (a) if all of the following conditions are met: </w:t>
      </w:r>
    </w:p>
    <w:p w14:paraId="18BF81C7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05E2659F" w14:textId="34277BD9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discharger does not use mercury; or, the discharger uses mercury and this use cannot be eliminated; or, the discharger uses mercury only in chemical analysis or in laboratory or other equipment and takes reasonable care to avoid contamination of wastewater; </w:t>
      </w:r>
    </w:p>
    <w:p w14:paraId="59612C53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7FEE4264" w14:textId="433AD8A4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effluent mercury concentration is less than 0.003 </w:t>
      </w:r>
      <w:r w:rsidR="008656CD">
        <w:t>mg/L</w:t>
      </w:r>
      <w:r>
        <w:t xml:space="preserve">, as determined by </w:t>
      </w:r>
      <w:r w:rsidR="00A908ED">
        <w:t>applying</w:t>
      </w:r>
      <w:r>
        <w:t xml:space="preserve"> the averaging rules of Section 304.104(a);</w:t>
      </w:r>
    </w:p>
    <w:p w14:paraId="7275F926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32E42CB4" w14:textId="3AA9990A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discharger is providing the best degree of treatment consistent with technological feasibility, economic reasonable</w:t>
      </w:r>
      <w:r w:rsidR="00A9682A">
        <w:t>ness</w:t>
      </w:r>
      <w:r w:rsidR="00A908ED">
        <w:t>,</w:t>
      </w:r>
      <w:r w:rsidR="00A9682A">
        <w:t xml:space="preserve"> and sound engineering judg</w:t>
      </w:r>
      <w:r>
        <w:t xml:space="preserve">ment.  This may include no treatment for mercury; and </w:t>
      </w:r>
    </w:p>
    <w:p w14:paraId="7693BFA4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1D2BF702" w14:textId="77777777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discharger has an inspection and maintenance program likely to reduce or prevent an increase in the level of mercury discharges. </w:t>
      </w:r>
    </w:p>
    <w:p w14:paraId="3AAFC817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049BF553" w14:textId="69A5DEFF" w:rsidR="00FA3E68" w:rsidRDefault="00FA3E68" w:rsidP="00FA3E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656CD">
        <w:t>It is</w:t>
      </w:r>
      <w:r>
        <w:t xml:space="preserve"> an exception to </w:t>
      </w:r>
      <w:r w:rsidR="008656CD">
        <w:t>subsection</w:t>
      </w:r>
      <w:r>
        <w:t xml:space="preserve"> (a) if all of the following conditions are met: </w:t>
      </w:r>
    </w:p>
    <w:p w14:paraId="6E1F11E5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38FE667E" w14:textId="1B68CC48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discharger is a publicly owned or publicly regulated sewage treatment works;</w:t>
      </w:r>
    </w:p>
    <w:p w14:paraId="12AEC39F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5593680D" w14:textId="1E71B25C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discharger does not use mercury; or, the discharger uses mercury only in chemical analysis or in laboratory or other equipment and takes reasonable care to avoid contamination of wastewater; </w:t>
      </w:r>
    </w:p>
    <w:p w14:paraId="130BAAE5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41A7C372" w14:textId="707889B9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effluent mercury concentration is less than 0.003 </w:t>
      </w:r>
      <w:r w:rsidR="008656CD">
        <w:t>mg/L</w:t>
      </w:r>
      <w:r>
        <w:t xml:space="preserve">, as determined by </w:t>
      </w:r>
      <w:r w:rsidR="00A908ED">
        <w:t>applying</w:t>
      </w:r>
      <w:r>
        <w:t xml:space="preserve"> the averaging rules of Section 304.104(a); provided, however, that daily averages may exceed 0.006 </w:t>
      </w:r>
      <w:r w:rsidR="008656CD">
        <w:t>mg/L</w:t>
      </w:r>
      <w:r>
        <w:t xml:space="preserve"> 30% of the time; </w:t>
      </w:r>
    </w:p>
    <w:p w14:paraId="5C01C55A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4AFCFED6" w14:textId="03A85C0A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discharger has enforceable ordinances or contract provisions </w:t>
      </w:r>
      <w:r w:rsidR="00A908ED">
        <w:t>by which</w:t>
      </w:r>
      <w:r>
        <w:t xml:space="preserve"> it limits </w:t>
      </w:r>
      <w:r w:rsidR="00A908ED">
        <w:t xml:space="preserve">the </w:t>
      </w:r>
      <w:r>
        <w:t>use of mercury by dis</w:t>
      </w:r>
      <w:r w:rsidR="00A836AC">
        <w:t>ch</w:t>
      </w:r>
      <w:r>
        <w:t xml:space="preserve">argers and </w:t>
      </w:r>
      <w:r w:rsidR="00A908ED">
        <w:t xml:space="preserve">the </w:t>
      </w:r>
      <w:r>
        <w:t>discharge of mercury into its sewage system;</w:t>
      </w:r>
    </w:p>
    <w:p w14:paraId="66C93C38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51182070" w14:textId="1D9A1DBD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discharger's limitations on </w:t>
      </w:r>
      <w:r w:rsidR="00A908ED">
        <w:t xml:space="preserve">the </w:t>
      </w:r>
      <w:r>
        <w:t xml:space="preserve">use and discharge of mercury to its </w:t>
      </w:r>
      <w:r>
        <w:lastRenderedPageBreak/>
        <w:t xml:space="preserve">sewage system are at least as stringent as those provided in </w:t>
      </w:r>
      <w:r w:rsidR="008656CD">
        <w:t>35 Ill. Adm. Code</w:t>
      </w:r>
      <w:r w:rsidR="00A908ED">
        <w:t xml:space="preserve"> 307.1102</w:t>
      </w:r>
      <w:r>
        <w:t xml:space="preserve">; </w:t>
      </w:r>
    </w:p>
    <w:p w14:paraId="25A13857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34FB184E" w14:textId="3C73B02E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discharger has a surveillance program with a reasonable likelihood of determining sources of mercury discharged to the sewage system;</w:t>
      </w:r>
    </w:p>
    <w:p w14:paraId="1FE032BE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770764A8" w14:textId="22364100" w:rsidR="00FA3E68" w:rsidRDefault="00FA3E68" w:rsidP="00FA3E6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A836AC">
        <w:t>The discharger takes all lawful</w:t>
      </w:r>
      <w:r>
        <w:t xml:space="preserve"> steps to eliminate known mercury dis</w:t>
      </w:r>
      <w:r w:rsidR="00A836AC">
        <w:t>ch</w:t>
      </w:r>
      <w:r>
        <w:t xml:space="preserve">arges to the sewage system </w:t>
      </w:r>
      <w:r w:rsidR="00A908ED">
        <w:t>that</w:t>
      </w:r>
      <w:r>
        <w:t xml:space="preserve"> contribute </w:t>
      </w:r>
      <w:r w:rsidR="00A908ED">
        <w:t xml:space="preserve">to </w:t>
      </w:r>
      <w:r>
        <w:t xml:space="preserve">levels </w:t>
      </w:r>
      <w:r w:rsidR="00A908ED">
        <w:t>exceeding</w:t>
      </w:r>
      <w:r>
        <w:t xml:space="preserve"> those allowed by </w:t>
      </w:r>
      <w:r w:rsidR="008656CD">
        <w:t>35 Ill. Adm. Code</w:t>
      </w:r>
      <w:r w:rsidR="00A908ED">
        <w:t xml:space="preserve"> 307.1102</w:t>
      </w:r>
      <w:r>
        <w:t xml:space="preserve">; and </w:t>
      </w:r>
    </w:p>
    <w:p w14:paraId="71AD85BA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28F024C9" w14:textId="3F5676C8" w:rsidR="00FA3E68" w:rsidRDefault="00FA3E68" w:rsidP="008656C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discharger reports all known violations of </w:t>
      </w:r>
      <w:r w:rsidR="008656CD">
        <w:t>35 Ill. Adm. Code</w:t>
      </w:r>
      <w:r w:rsidR="00A908ED">
        <w:t xml:space="preserve"> 307.1102</w:t>
      </w:r>
      <w:r>
        <w:t xml:space="preserve"> to the Agency. </w:t>
      </w:r>
    </w:p>
    <w:p w14:paraId="1FC0025F" w14:textId="77777777" w:rsidR="00B70B44" w:rsidRDefault="00B70B44" w:rsidP="00884D87">
      <w:pPr>
        <w:widowControl w:val="0"/>
        <w:autoSpaceDE w:val="0"/>
        <w:autoSpaceDN w:val="0"/>
        <w:adjustRightInd w:val="0"/>
      </w:pPr>
    </w:p>
    <w:p w14:paraId="2427B7B4" w14:textId="7C140C49" w:rsidR="00FA3E68" w:rsidRDefault="00FA3E68" w:rsidP="00FA3E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8656CD">
        <w:t>When it issues a permit</w:t>
      </w:r>
      <w:r w:rsidR="00A9682A">
        <w:t>,</w:t>
      </w:r>
      <w:r>
        <w:t xml:space="preserve"> the Agency may consider </w:t>
      </w:r>
      <w:r w:rsidR="008656CD">
        <w:t>applying</w:t>
      </w:r>
      <w:r>
        <w:t xml:space="preserve"> the exceptions of this </w:t>
      </w:r>
      <w:r w:rsidR="00B93512">
        <w:t>Section</w:t>
      </w:r>
      <w:r>
        <w:t xml:space="preserve"> to determine compliance with this </w:t>
      </w:r>
      <w:r w:rsidR="00B93512">
        <w:t>Section</w:t>
      </w:r>
      <w:r>
        <w:t xml:space="preserve">. The Agency may impose permit conditions necessary or required to assure continued application of an exception.  When </w:t>
      </w:r>
      <w:r w:rsidR="008656CD">
        <w:t>subsection</w:t>
      </w:r>
      <w:r>
        <w:t xml:space="preserve"> (b) applies, the Agency may impose an effluent limitation in the permit which allows discharge of a concentration of mercury greater than 0.0005 </w:t>
      </w:r>
      <w:r w:rsidR="008656CD">
        <w:t>mg/L</w:t>
      </w:r>
      <w:r>
        <w:t xml:space="preserve"> but not more than 0.003 </w:t>
      </w:r>
      <w:r w:rsidR="008656CD">
        <w:t>mg/L</w:t>
      </w:r>
      <w:r>
        <w:t xml:space="preserve">. </w:t>
      </w:r>
    </w:p>
    <w:p w14:paraId="22BF28EB" w14:textId="77777777" w:rsidR="008656CD" w:rsidRDefault="008656CD" w:rsidP="00884D87">
      <w:pPr>
        <w:widowControl w:val="0"/>
        <w:autoSpaceDE w:val="0"/>
        <w:autoSpaceDN w:val="0"/>
        <w:adjustRightInd w:val="0"/>
      </w:pPr>
    </w:p>
    <w:p w14:paraId="1A917F83" w14:textId="381BF144" w:rsidR="00FA3E68" w:rsidRDefault="008656CD" w:rsidP="00FA3E6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908ED">
        <w:t>7</w:t>
      </w:r>
      <w:r>
        <w:t xml:space="preserve"> Ill. Reg. </w:t>
      </w:r>
      <w:r w:rsidR="00C51915">
        <w:t>4601</w:t>
      </w:r>
      <w:r>
        <w:t xml:space="preserve">, effective </w:t>
      </w:r>
      <w:r w:rsidR="00C51915">
        <w:t>March 23, 2023</w:t>
      </w:r>
      <w:r>
        <w:t>)</w:t>
      </w:r>
    </w:p>
    <w:sectPr w:rsidR="00FA3E68" w:rsidSect="00FA3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E68"/>
    <w:rsid w:val="001316EF"/>
    <w:rsid w:val="001D1A2F"/>
    <w:rsid w:val="00436344"/>
    <w:rsid w:val="005C3366"/>
    <w:rsid w:val="008656CD"/>
    <w:rsid w:val="00884D87"/>
    <w:rsid w:val="00A836AC"/>
    <w:rsid w:val="00A908ED"/>
    <w:rsid w:val="00A9682A"/>
    <w:rsid w:val="00B70B44"/>
    <w:rsid w:val="00B93512"/>
    <w:rsid w:val="00BA4D4A"/>
    <w:rsid w:val="00C51915"/>
    <w:rsid w:val="00E576BB"/>
    <w:rsid w:val="00EA1B52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34D5C6"/>
  <w15:docId w15:val="{45D07EE8-09DD-4B48-9727-85C0C09E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2023-04-08T20:32:00Z</dcterms:modified>
</cp:coreProperties>
</file>