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4F" w:rsidRDefault="00F37A4F" w:rsidP="00F37A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7A4F" w:rsidRDefault="00F37A4F" w:rsidP="00F37A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276.804  Review of Agency's Determination</w:t>
      </w:r>
      <w:r>
        <w:t xml:space="preserve"> </w:t>
      </w:r>
    </w:p>
    <w:p w:rsidR="00F37A4F" w:rsidRDefault="00F37A4F" w:rsidP="00F37A4F">
      <w:pPr>
        <w:widowControl w:val="0"/>
        <w:autoSpaceDE w:val="0"/>
        <w:autoSpaceDN w:val="0"/>
        <w:adjustRightInd w:val="0"/>
      </w:pPr>
    </w:p>
    <w:p w:rsidR="00F37A4F" w:rsidRDefault="00F37A4F" w:rsidP="00F37A4F">
      <w:pPr>
        <w:widowControl w:val="0"/>
        <w:autoSpaceDE w:val="0"/>
        <w:autoSpaceDN w:val="0"/>
        <w:adjustRightInd w:val="0"/>
      </w:pPr>
      <w:r>
        <w:t xml:space="preserve">The Agency's written determination shall be subject to review in the Circuit Court in accordance with the provisions of the Administrative Review Law [735 ILCS 5/Art. III]. </w:t>
      </w:r>
    </w:p>
    <w:p w:rsidR="00F37A4F" w:rsidRDefault="00F37A4F" w:rsidP="00F37A4F">
      <w:pPr>
        <w:widowControl w:val="0"/>
        <w:autoSpaceDE w:val="0"/>
        <w:autoSpaceDN w:val="0"/>
        <w:adjustRightInd w:val="0"/>
      </w:pPr>
    </w:p>
    <w:p w:rsidR="00F37A4F" w:rsidRDefault="00F37A4F" w:rsidP="00F37A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8456, effective June 14, 1996) </w:t>
      </w:r>
    </w:p>
    <w:sectPr w:rsidR="00F37A4F" w:rsidSect="00F37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A4F"/>
    <w:rsid w:val="001829E9"/>
    <w:rsid w:val="005C3366"/>
    <w:rsid w:val="00681F48"/>
    <w:rsid w:val="008D061B"/>
    <w:rsid w:val="00F3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