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21" w:rsidRDefault="00485E21" w:rsidP="00485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5E21" w:rsidRDefault="00485E21" w:rsidP="00485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270.601  Purpose</w:t>
      </w:r>
      <w:r>
        <w:t xml:space="preserve"> </w:t>
      </w:r>
    </w:p>
    <w:p w:rsidR="00485E21" w:rsidRDefault="00485E21" w:rsidP="00485E21">
      <w:pPr>
        <w:widowControl w:val="0"/>
        <w:autoSpaceDE w:val="0"/>
        <w:autoSpaceDN w:val="0"/>
        <w:adjustRightInd w:val="0"/>
      </w:pPr>
    </w:p>
    <w:p w:rsidR="00485E21" w:rsidRDefault="00485E21" w:rsidP="00485E21">
      <w:pPr>
        <w:widowControl w:val="0"/>
        <w:autoSpaceDE w:val="0"/>
        <w:autoSpaceDN w:val="0"/>
        <w:adjustRightInd w:val="0"/>
      </w:pPr>
      <w:r>
        <w:t xml:space="preserve">These rules specify the procedures for the determination and collection of fees required by Section 39.5(18) of the Act. </w:t>
      </w:r>
    </w:p>
    <w:sectPr w:rsidR="00485E21" w:rsidSect="00485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E21"/>
    <w:rsid w:val="001F592A"/>
    <w:rsid w:val="002276D4"/>
    <w:rsid w:val="003443F3"/>
    <w:rsid w:val="00485E2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