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F2" w:rsidRDefault="00B51EF2" w:rsidP="00B51EF2">
      <w:pPr>
        <w:widowControl w:val="0"/>
        <w:autoSpaceDE w:val="0"/>
        <w:autoSpaceDN w:val="0"/>
        <w:adjustRightInd w:val="0"/>
      </w:pPr>
      <w:bookmarkStart w:id="0" w:name="_GoBack"/>
      <w:bookmarkEnd w:id="0"/>
    </w:p>
    <w:p w:rsidR="00B51EF2" w:rsidRDefault="00B51EF2" w:rsidP="00B51EF2">
      <w:pPr>
        <w:widowControl w:val="0"/>
        <w:autoSpaceDE w:val="0"/>
        <w:autoSpaceDN w:val="0"/>
        <w:adjustRightInd w:val="0"/>
      </w:pPr>
      <w:r>
        <w:rPr>
          <w:b/>
          <w:bCs/>
        </w:rPr>
        <w:t>Section 270.411  Accidental Releases</w:t>
      </w:r>
      <w:r>
        <w:t xml:space="preserve"> </w:t>
      </w:r>
    </w:p>
    <w:p w:rsidR="00B51EF2" w:rsidRDefault="00B51EF2" w:rsidP="00B51EF2">
      <w:pPr>
        <w:widowControl w:val="0"/>
        <w:autoSpaceDE w:val="0"/>
        <w:autoSpaceDN w:val="0"/>
        <w:adjustRightInd w:val="0"/>
      </w:pPr>
    </w:p>
    <w:p w:rsidR="00B51EF2" w:rsidRDefault="00B51EF2" w:rsidP="00B51EF2">
      <w:pPr>
        <w:widowControl w:val="0"/>
        <w:autoSpaceDE w:val="0"/>
        <w:autoSpaceDN w:val="0"/>
        <w:adjustRightInd w:val="0"/>
      </w:pPr>
      <w:r>
        <w:t xml:space="preserve">The owner or operator of a CAAPP source shall certify in its CAAPP application, if applicable, that it has registered its risk management plan pursuant to Section 112(r) of the Clean Air Act or that it intends to comply with such requirement in accordance with its compliance plan/schedule of compliance. </w:t>
      </w:r>
    </w:p>
    <w:sectPr w:rsidR="00B51EF2" w:rsidSect="00B51E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EF2"/>
    <w:rsid w:val="000F59ED"/>
    <w:rsid w:val="005C3366"/>
    <w:rsid w:val="006F4DB1"/>
    <w:rsid w:val="00B51EF2"/>
    <w:rsid w:val="00D1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