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D2" w:rsidRDefault="00FF13D2" w:rsidP="00FF13D2">
      <w:pPr>
        <w:jc w:val="center"/>
      </w:pPr>
      <w:bookmarkStart w:id="0" w:name="_GoBack"/>
      <w:bookmarkEnd w:id="0"/>
    </w:p>
    <w:p w:rsidR="00437A93" w:rsidRPr="00437A93" w:rsidRDefault="00437A93" w:rsidP="00FF13D2">
      <w:pPr>
        <w:jc w:val="center"/>
      </w:pPr>
      <w:r w:rsidRPr="00437A93">
        <w:t>SUBPART C:  PROCEDURES FOR ISSUANCE OF GRANTS</w:t>
      </w:r>
    </w:p>
    <w:sectPr w:rsidR="00437A93" w:rsidRPr="00437A9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95" w:rsidRDefault="00865A95">
      <w:r>
        <w:separator/>
      </w:r>
    </w:p>
  </w:endnote>
  <w:endnote w:type="continuationSeparator" w:id="0">
    <w:p w:rsidR="00865A95" w:rsidRDefault="0086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95" w:rsidRDefault="00865A95">
      <w:r>
        <w:separator/>
      </w:r>
    </w:p>
  </w:footnote>
  <w:footnote w:type="continuationSeparator" w:id="0">
    <w:p w:rsidR="00865A95" w:rsidRDefault="0086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A9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37A93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A95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E6C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0450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42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13D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