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B5" w:rsidRDefault="00B015B5" w:rsidP="00B015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5B5" w:rsidRDefault="00B015B5" w:rsidP="00B015B5">
      <w:pPr>
        <w:widowControl w:val="0"/>
        <w:autoSpaceDE w:val="0"/>
        <w:autoSpaceDN w:val="0"/>
        <w:adjustRightInd w:val="0"/>
        <w:jc w:val="center"/>
      </w:pPr>
      <w:r>
        <w:t>SUBPART C:  PROCEDURES FOR EVALUATING CHARACTERISTICS</w:t>
      </w:r>
    </w:p>
    <w:p w:rsidR="00B015B5" w:rsidRDefault="00B015B5" w:rsidP="00B015B5">
      <w:pPr>
        <w:widowControl w:val="0"/>
        <w:autoSpaceDE w:val="0"/>
        <w:autoSpaceDN w:val="0"/>
        <w:adjustRightInd w:val="0"/>
        <w:jc w:val="center"/>
      </w:pPr>
      <w:r>
        <w:t>OF A TOXIC AIR CONTAMINANT</w:t>
      </w:r>
    </w:p>
    <w:sectPr w:rsidR="00B015B5" w:rsidSect="00B015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5B5"/>
    <w:rsid w:val="001A180C"/>
    <w:rsid w:val="00596839"/>
    <w:rsid w:val="005C3366"/>
    <w:rsid w:val="00B015B5"/>
    <w:rsid w:val="00F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EVALUATING CHARACTERISTICS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EVALUATING CHARACTERISTICS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