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BA" w:rsidRDefault="009312BA" w:rsidP="009312BA">
      <w:pPr>
        <w:widowControl w:val="0"/>
        <w:autoSpaceDE w:val="0"/>
        <w:autoSpaceDN w:val="0"/>
        <w:adjustRightInd w:val="0"/>
      </w:pPr>
      <w:bookmarkStart w:id="0" w:name="_GoBack"/>
      <w:bookmarkEnd w:id="0"/>
    </w:p>
    <w:p w:rsidR="009312BA" w:rsidRDefault="009312BA" w:rsidP="009312BA">
      <w:pPr>
        <w:widowControl w:val="0"/>
        <w:autoSpaceDE w:val="0"/>
        <w:autoSpaceDN w:val="0"/>
        <w:adjustRightInd w:val="0"/>
      </w:pPr>
      <w:r>
        <w:rPr>
          <w:b/>
          <w:bCs/>
        </w:rPr>
        <w:t>Section 218.500  Applicability for Batch Operations</w:t>
      </w:r>
      <w:r>
        <w:t xml:space="preserve"> </w:t>
      </w:r>
    </w:p>
    <w:p w:rsidR="009312BA" w:rsidRDefault="009312BA" w:rsidP="009312BA">
      <w:pPr>
        <w:widowControl w:val="0"/>
        <w:autoSpaceDE w:val="0"/>
        <w:autoSpaceDN w:val="0"/>
        <w:adjustRightInd w:val="0"/>
      </w:pPr>
    </w:p>
    <w:p w:rsidR="009312BA" w:rsidRDefault="009312BA" w:rsidP="009312BA">
      <w:pPr>
        <w:widowControl w:val="0"/>
        <w:autoSpaceDE w:val="0"/>
        <w:autoSpaceDN w:val="0"/>
        <w:adjustRightInd w:val="0"/>
        <w:ind w:left="1440" w:hanging="720"/>
      </w:pPr>
      <w:r>
        <w:t>a)</w:t>
      </w:r>
      <w:r>
        <w:tab/>
        <w:t xml:space="preserve">The control requirements set forth in Section 218.501 of this Subpart shall apply to: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1)</w:t>
      </w:r>
      <w:r>
        <w:tab/>
        <w:t xml:space="preserve">Process vents associated with batch operations at sources identified by any of the following four-digit standard industrial classification ("SIC") codes, as defined in the 1987 edition of the Federal Standard Industrial Classification Manual: SIC 2821, 2833, 2834, 2861, 2865, 2869, and 2879; and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2)</w:t>
      </w:r>
      <w:r>
        <w:tab/>
        <w:t xml:space="preserve">All batch operations at Stepan Company's </w:t>
      </w:r>
      <w:proofErr w:type="spellStart"/>
      <w:r>
        <w:t>Millsdale</w:t>
      </w:r>
      <w:proofErr w:type="spellEnd"/>
      <w:r>
        <w:t xml:space="preserve"> manufacturing facility, Elwood, Illinois. </w:t>
      </w:r>
    </w:p>
    <w:p w:rsidR="000121EE" w:rsidRDefault="000121EE" w:rsidP="009312BA">
      <w:pPr>
        <w:widowControl w:val="0"/>
        <w:autoSpaceDE w:val="0"/>
        <w:autoSpaceDN w:val="0"/>
        <w:adjustRightInd w:val="0"/>
        <w:ind w:left="1440" w:hanging="720"/>
      </w:pPr>
    </w:p>
    <w:p w:rsidR="009312BA" w:rsidRDefault="009312BA" w:rsidP="009312BA">
      <w:pPr>
        <w:widowControl w:val="0"/>
        <w:autoSpaceDE w:val="0"/>
        <w:autoSpaceDN w:val="0"/>
        <w:adjustRightInd w:val="0"/>
        <w:ind w:left="1440" w:hanging="720"/>
      </w:pPr>
      <w:r>
        <w:t>b)</w:t>
      </w:r>
      <w:r>
        <w:tab/>
        <w:t xml:space="preserve">The requirements of Sections 218.500 through 218.506 shall not apply to: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1)</w:t>
      </w:r>
      <w:r>
        <w:tab/>
        <w:t xml:space="preserve">Any emission unit included within the category specified in 35 Ill. Adm. Code 218, Subpart B or T;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2)</w:t>
      </w:r>
      <w:r>
        <w:tab/>
        <w:t xml:space="preserve">Any emission unit included within the category specified in Sections 218.520 through 218.527 of this Subpart; and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3)</w:t>
      </w:r>
      <w:r>
        <w:tab/>
        <w:t xml:space="preserve">Any emission unit included within an Early Reduction Program, as specified in 40 CFR Part 63, and published in 57 Fed. Reg. 61970 (December 29, 1992), evidenced by a timely enforceable commitment approved by USEPA. </w:t>
      </w:r>
    </w:p>
    <w:p w:rsidR="000121EE" w:rsidRDefault="000121EE" w:rsidP="009312BA">
      <w:pPr>
        <w:widowControl w:val="0"/>
        <w:autoSpaceDE w:val="0"/>
        <w:autoSpaceDN w:val="0"/>
        <w:adjustRightInd w:val="0"/>
        <w:ind w:left="1440" w:hanging="720"/>
      </w:pPr>
    </w:p>
    <w:p w:rsidR="009312BA" w:rsidRDefault="009312BA" w:rsidP="009312BA">
      <w:pPr>
        <w:widowControl w:val="0"/>
        <w:autoSpaceDE w:val="0"/>
        <w:autoSpaceDN w:val="0"/>
        <w:adjustRightInd w:val="0"/>
        <w:ind w:left="1440" w:hanging="720"/>
      </w:pPr>
      <w:r>
        <w:t>c)</w:t>
      </w:r>
      <w:r>
        <w:tab/>
        <w:t xml:space="preserve">The following single unit operations and batch process trains are subject to this Subpart but are considered to be de </w:t>
      </w:r>
      <w:proofErr w:type="spellStart"/>
      <w:r>
        <w:t>minimis</w:t>
      </w:r>
      <w:proofErr w:type="spellEnd"/>
      <w:r>
        <w:t xml:space="preserve"> and are, therefore, exempt from the control requirements of Section 218.501 of this Subpart.  However, the recordkeeping and reporting requirements in Section 218.505 of this Subpart shall apply to such de </w:t>
      </w:r>
      <w:proofErr w:type="spellStart"/>
      <w:r>
        <w:t>minimis</w:t>
      </w:r>
      <w:proofErr w:type="spellEnd"/>
      <w:r>
        <w:t xml:space="preserve"> single unit operations and batch process trains: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1)</w:t>
      </w:r>
      <w:r>
        <w:tab/>
        <w:t xml:space="preserve">Within a batch operation, any single unit operation with uncontrolled total annual mass emissions of less than or equal to 500 lb/yr of VOM.  Such single unit operations are also excluded from the calculation of the total annual mass emissions for a batch process train. If the uncontrolled total annual mass emissions from such exempt single unit operation exceed 500 lb/yr of VOM in any subsequent year, the source shall calculate applicability in accordance with subsection (d) of this Section for both the individual single unit operation and the batch process train containing the single unit operation; and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2)</w:t>
      </w:r>
      <w:r>
        <w:tab/>
        <w:t xml:space="preserve">Any batch process train containing process vents that have, in the aggregate, uncontrolled total annual mass emissions, as determined in </w:t>
      </w:r>
      <w:r>
        <w:lastRenderedPageBreak/>
        <w:t xml:space="preserve">accordance with Section 218.502(a) of this Subpart, of less than 30,000 lb/yr of VOM for all products manufactured in such batch process train. </w:t>
      </w:r>
    </w:p>
    <w:p w:rsidR="000121EE" w:rsidRDefault="000121EE" w:rsidP="009312BA">
      <w:pPr>
        <w:widowControl w:val="0"/>
        <w:autoSpaceDE w:val="0"/>
        <w:autoSpaceDN w:val="0"/>
        <w:adjustRightInd w:val="0"/>
        <w:ind w:left="1440" w:hanging="720"/>
      </w:pPr>
    </w:p>
    <w:p w:rsidR="009312BA" w:rsidRDefault="009312BA" w:rsidP="009312BA">
      <w:pPr>
        <w:widowControl w:val="0"/>
        <w:autoSpaceDE w:val="0"/>
        <w:autoSpaceDN w:val="0"/>
        <w:adjustRightInd w:val="0"/>
        <w:ind w:left="1440" w:hanging="720"/>
      </w:pPr>
      <w:r>
        <w:t>d)</w:t>
      </w:r>
      <w:r>
        <w:tab/>
        <w:t xml:space="preserve">The applicability equations in subsection (e) of this Section, which require the calculation of uncontrolled total annual mass emissions and flow rate value, shall be used to determine whether a single unit operation or a batch process train is subject to the control requirements set forth in Section 218.501 of this Subpart. The applicability equation shall be applied to the following: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1)</w:t>
      </w:r>
      <w:r>
        <w:tab/>
        <w:t xml:space="preserve">Any single unit operation with uncontrolled total annual mass emissions that exceed 500 lb/yr and with a VOM concentration greater than 500 </w:t>
      </w:r>
      <w:proofErr w:type="spellStart"/>
      <w:r>
        <w:t>ppmv</w:t>
      </w:r>
      <w:proofErr w:type="spellEnd"/>
      <w:r>
        <w:t xml:space="preserve">. In this individual determination, no applicability analysis shall be performed for any single unit operation with a VOM concentration of less than or equal to 500 </w:t>
      </w:r>
      <w:proofErr w:type="spellStart"/>
      <w:r>
        <w:t>ppmv</w:t>
      </w:r>
      <w:proofErr w:type="spellEnd"/>
      <w:r>
        <w:t xml:space="preserve">; and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2)</w:t>
      </w:r>
      <w:r>
        <w:tab/>
        <w:t xml:space="preserve">Any batch process train containing process vents which, in the aggregate, have uncontrolled total annual mass emissions of 30,000 lb/yr or more of VOM from all products manufactured in the batch process train.  Any single unit operation with uncontrolled total annual mass emissions exceeding 500 lb/yr, regardless of VOM concentration, shall be included in the aggregate applicability analysis. </w:t>
      </w:r>
    </w:p>
    <w:p w:rsidR="000121EE" w:rsidRDefault="000121EE" w:rsidP="009312BA">
      <w:pPr>
        <w:widowControl w:val="0"/>
        <w:autoSpaceDE w:val="0"/>
        <w:autoSpaceDN w:val="0"/>
        <w:adjustRightInd w:val="0"/>
        <w:ind w:left="1440" w:hanging="720"/>
      </w:pPr>
    </w:p>
    <w:p w:rsidR="009312BA" w:rsidRDefault="009312BA" w:rsidP="009312BA">
      <w:pPr>
        <w:widowControl w:val="0"/>
        <w:autoSpaceDE w:val="0"/>
        <w:autoSpaceDN w:val="0"/>
        <w:adjustRightInd w:val="0"/>
        <w:ind w:left="1440" w:hanging="720"/>
      </w:pPr>
      <w:r>
        <w:t>e)</w:t>
      </w:r>
      <w:r>
        <w:tab/>
        <w:t xml:space="preserve">Applicability equations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1)</w:t>
      </w:r>
      <w:r>
        <w:tab/>
        <w:t xml:space="preserve">The applicability equations in this subsection are specific to volatility. </w:t>
      </w:r>
    </w:p>
    <w:p w:rsidR="000121EE" w:rsidRDefault="000121EE"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2)</w:t>
      </w:r>
      <w:r>
        <w:tab/>
        <w:t xml:space="preserve">For purposes of this subsection, the following abbreviations apply: </w:t>
      </w:r>
    </w:p>
    <w:p w:rsidR="009312BA" w:rsidRDefault="009312BA" w:rsidP="009312BA">
      <w:pPr>
        <w:widowControl w:val="0"/>
        <w:autoSpaceDE w:val="0"/>
        <w:autoSpaceDN w:val="0"/>
        <w:adjustRightInd w:val="0"/>
        <w:ind w:left="2160" w:hanging="720"/>
      </w:pPr>
    </w:p>
    <w:tbl>
      <w:tblPr>
        <w:tblW w:w="7426" w:type="dxa"/>
        <w:tblInd w:w="2274" w:type="dxa"/>
        <w:tblLook w:val="0000" w:firstRow="0" w:lastRow="0" w:firstColumn="0" w:lastColumn="0" w:noHBand="0" w:noVBand="0"/>
      </w:tblPr>
      <w:tblGrid>
        <w:gridCol w:w="726"/>
        <w:gridCol w:w="1140"/>
        <w:gridCol w:w="243"/>
        <w:gridCol w:w="5317"/>
      </w:tblGrid>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A)</w:t>
            </w:r>
          </w:p>
        </w:tc>
        <w:tc>
          <w:tcPr>
            <w:tcW w:w="1140" w:type="dxa"/>
          </w:tcPr>
          <w:p w:rsidR="005E2617" w:rsidRDefault="005E2617" w:rsidP="005E2617">
            <w:pPr>
              <w:widowControl w:val="0"/>
              <w:autoSpaceDE w:val="0"/>
              <w:autoSpaceDN w:val="0"/>
              <w:adjustRightInd w:val="0"/>
              <w:ind w:left="-117" w:right="-71"/>
            </w:pPr>
            <w:r>
              <w:t>FR</w:t>
            </w:r>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 xml:space="preserve">Vent stream flow rate, </w:t>
            </w:r>
            <w:proofErr w:type="spellStart"/>
            <w:r>
              <w:t>scfm</w:t>
            </w:r>
            <w:proofErr w:type="spellEnd"/>
            <w:r>
              <w:t>;</w:t>
            </w:r>
          </w:p>
        </w:tc>
      </w:tr>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B)</w:t>
            </w:r>
          </w:p>
        </w:tc>
        <w:tc>
          <w:tcPr>
            <w:tcW w:w="1140" w:type="dxa"/>
          </w:tcPr>
          <w:p w:rsidR="005E2617" w:rsidRDefault="005E2617" w:rsidP="005E2617">
            <w:pPr>
              <w:widowControl w:val="0"/>
              <w:autoSpaceDE w:val="0"/>
              <w:autoSpaceDN w:val="0"/>
              <w:adjustRightInd w:val="0"/>
              <w:ind w:left="-117" w:right="-71"/>
            </w:pPr>
            <w:r>
              <w:t>UTAME</w:t>
            </w:r>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Uncontrolled total annual mass emissions of VOM, expressed as lb/year;</w:t>
            </w:r>
          </w:p>
        </w:tc>
      </w:tr>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C)</w:t>
            </w:r>
          </w:p>
        </w:tc>
        <w:tc>
          <w:tcPr>
            <w:tcW w:w="1140" w:type="dxa"/>
          </w:tcPr>
          <w:p w:rsidR="005E2617" w:rsidRDefault="005E2617" w:rsidP="005E2617">
            <w:pPr>
              <w:widowControl w:val="0"/>
              <w:autoSpaceDE w:val="0"/>
              <w:autoSpaceDN w:val="0"/>
              <w:adjustRightInd w:val="0"/>
              <w:ind w:left="-117" w:right="-71"/>
            </w:pPr>
            <w:r>
              <w:t>WAV</w:t>
            </w:r>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Weighted average volatility;</w:t>
            </w:r>
          </w:p>
        </w:tc>
      </w:tr>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D)</w:t>
            </w:r>
          </w:p>
        </w:tc>
        <w:tc>
          <w:tcPr>
            <w:tcW w:w="1140" w:type="dxa"/>
          </w:tcPr>
          <w:p w:rsidR="005E2617" w:rsidRPr="005E2617" w:rsidRDefault="005E2617" w:rsidP="005E2617">
            <w:pPr>
              <w:widowControl w:val="0"/>
              <w:autoSpaceDE w:val="0"/>
              <w:autoSpaceDN w:val="0"/>
              <w:adjustRightInd w:val="0"/>
              <w:ind w:left="-117" w:right="-71"/>
              <w:rPr>
                <w:vertAlign w:val="subscript"/>
              </w:rPr>
            </w:pPr>
            <w:proofErr w:type="spellStart"/>
            <w:r>
              <w:t>MVOM</w:t>
            </w:r>
            <w:r>
              <w:rPr>
                <w:vertAlign w:val="subscript"/>
              </w:rPr>
              <w:t>i</w:t>
            </w:r>
            <w:proofErr w:type="spellEnd"/>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 xml:space="preserve">Mass of VOM component </w:t>
            </w:r>
            <w:proofErr w:type="spellStart"/>
            <w:r>
              <w:t>i</w:t>
            </w:r>
            <w:proofErr w:type="spellEnd"/>
            <w:r>
              <w:t>;</w:t>
            </w:r>
          </w:p>
        </w:tc>
      </w:tr>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E)</w:t>
            </w:r>
          </w:p>
        </w:tc>
        <w:tc>
          <w:tcPr>
            <w:tcW w:w="1140" w:type="dxa"/>
          </w:tcPr>
          <w:p w:rsidR="005E2617" w:rsidRPr="005E2617" w:rsidRDefault="005E2617" w:rsidP="005E2617">
            <w:pPr>
              <w:widowControl w:val="0"/>
              <w:autoSpaceDE w:val="0"/>
              <w:autoSpaceDN w:val="0"/>
              <w:adjustRightInd w:val="0"/>
              <w:ind w:left="-117" w:right="-71"/>
              <w:rPr>
                <w:vertAlign w:val="subscript"/>
              </w:rPr>
            </w:pPr>
            <w:proofErr w:type="spellStart"/>
            <w:r>
              <w:t>MWVOM</w:t>
            </w:r>
            <w:r>
              <w:rPr>
                <w:vertAlign w:val="subscript"/>
              </w:rPr>
              <w:t>i</w:t>
            </w:r>
            <w:proofErr w:type="spellEnd"/>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 xml:space="preserve">Molecular weight of VOM component </w:t>
            </w:r>
            <w:proofErr w:type="spellStart"/>
            <w:r>
              <w:t>i</w:t>
            </w:r>
            <w:proofErr w:type="spellEnd"/>
            <w:r>
              <w:t>; and</w:t>
            </w:r>
          </w:p>
        </w:tc>
      </w:tr>
      <w:tr w:rsidR="005E2617">
        <w:tblPrEx>
          <w:tblCellMar>
            <w:top w:w="0" w:type="dxa"/>
            <w:bottom w:w="0" w:type="dxa"/>
          </w:tblCellMar>
        </w:tblPrEx>
        <w:tc>
          <w:tcPr>
            <w:tcW w:w="726" w:type="dxa"/>
          </w:tcPr>
          <w:p w:rsidR="005E2617" w:rsidRDefault="005E2617" w:rsidP="009312BA">
            <w:pPr>
              <w:widowControl w:val="0"/>
              <w:autoSpaceDE w:val="0"/>
              <w:autoSpaceDN w:val="0"/>
              <w:adjustRightInd w:val="0"/>
            </w:pPr>
            <w:r>
              <w:t>F)</w:t>
            </w:r>
          </w:p>
        </w:tc>
        <w:tc>
          <w:tcPr>
            <w:tcW w:w="1140" w:type="dxa"/>
          </w:tcPr>
          <w:p w:rsidR="005E2617" w:rsidRPr="005E2617" w:rsidRDefault="005E2617" w:rsidP="005E2617">
            <w:pPr>
              <w:widowControl w:val="0"/>
              <w:autoSpaceDE w:val="0"/>
              <w:autoSpaceDN w:val="0"/>
              <w:adjustRightInd w:val="0"/>
              <w:ind w:left="-117" w:right="-71"/>
              <w:rPr>
                <w:vertAlign w:val="subscript"/>
              </w:rPr>
            </w:pPr>
            <w:proofErr w:type="spellStart"/>
            <w:r>
              <w:t>VP</w:t>
            </w:r>
            <w:r>
              <w:rPr>
                <w:vertAlign w:val="subscript"/>
              </w:rPr>
              <w:t>i</w:t>
            </w:r>
            <w:proofErr w:type="spellEnd"/>
          </w:p>
        </w:tc>
        <w:tc>
          <w:tcPr>
            <w:tcW w:w="243" w:type="dxa"/>
          </w:tcPr>
          <w:p w:rsidR="005E2617" w:rsidRDefault="005E2617" w:rsidP="005E2617">
            <w:pPr>
              <w:widowControl w:val="0"/>
              <w:autoSpaceDE w:val="0"/>
              <w:autoSpaceDN w:val="0"/>
              <w:adjustRightInd w:val="0"/>
              <w:ind w:left="-117" w:right="-71"/>
              <w:jc w:val="center"/>
            </w:pPr>
            <w:r>
              <w:t>=</w:t>
            </w:r>
          </w:p>
        </w:tc>
        <w:tc>
          <w:tcPr>
            <w:tcW w:w="5317" w:type="dxa"/>
          </w:tcPr>
          <w:p w:rsidR="005E2617" w:rsidRDefault="005E2617" w:rsidP="009312BA">
            <w:pPr>
              <w:widowControl w:val="0"/>
              <w:autoSpaceDE w:val="0"/>
              <w:autoSpaceDN w:val="0"/>
              <w:adjustRightInd w:val="0"/>
            </w:pPr>
            <w:r>
              <w:t xml:space="preserve">Vapor pressure of VOM component </w:t>
            </w:r>
            <w:proofErr w:type="spellStart"/>
            <w:r>
              <w:t>i</w:t>
            </w:r>
            <w:proofErr w:type="spellEnd"/>
            <w:r>
              <w:t>.</w:t>
            </w:r>
          </w:p>
        </w:tc>
      </w:tr>
    </w:tbl>
    <w:p w:rsidR="005E2617" w:rsidRDefault="005E2617"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3)</w:t>
      </w:r>
      <w:r>
        <w:tab/>
        <w:t xml:space="preserve">Weighted average volatility shall be calculated as follows: </w:t>
      </w:r>
    </w:p>
    <w:p w:rsidR="009312BA" w:rsidRDefault="009312BA" w:rsidP="009312BA">
      <w:pPr>
        <w:widowControl w:val="0"/>
        <w:autoSpaceDE w:val="0"/>
        <w:autoSpaceDN w:val="0"/>
        <w:adjustRightInd w:val="0"/>
        <w:ind w:left="2160" w:hanging="720"/>
      </w:pPr>
    </w:p>
    <w:p w:rsidR="00004ACD" w:rsidRDefault="002B57FE" w:rsidP="00004ACD">
      <w:pPr>
        <w:widowControl w:val="0"/>
        <w:autoSpaceDE w:val="0"/>
        <w:autoSpaceDN w:val="0"/>
        <w:adjustRightInd w:val="0"/>
        <w:ind w:left="2277" w:firstLine="18"/>
      </w:pPr>
      <w:r w:rsidRPr="00004ACD">
        <w:rPr>
          <w:position w:val="-62"/>
        </w:rPr>
        <w:object w:dxaOrig="340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8.25pt" o:ole="">
            <v:imagedata r:id="rId5" o:title=""/>
          </v:shape>
          <o:OLEObject Type="Embed" ProgID="Equation.3" ShapeID="_x0000_i1025" DrawAspect="Content" ObjectID="_1401798946" r:id="rId6"/>
        </w:object>
      </w:r>
    </w:p>
    <w:p w:rsidR="00004ACD" w:rsidRDefault="00004ACD"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2160" w:hanging="720"/>
      </w:pPr>
      <w:r>
        <w:t>4)</w:t>
      </w:r>
      <w:r>
        <w:tab/>
        <w:t xml:space="preserve">For purposes of determining applicability, flow rate values shall be calculated as follows: </w:t>
      </w:r>
    </w:p>
    <w:p w:rsidR="000121EE" w:rsidRDefault="000121EE" w:rsidP="009312BA">
      <w:pPr>
        <w:widowControl w:val="0"/>
        <w:autoSpaceDE w:val="0"/>
        <w:autoSpaceDN w:val="0"/>
        <w:adjustRightInd w:val="0"/>
        <w:ind w:left="2880" w:hanging="720"/>
      </w:pPr>
    </w:p>
    <w:p w:rsidR="009312BA" w:rsidRDefault="009312BA" w:rsidP="009312BA">
      <w:pPr>
        <w:widowControl w:val="0"/>
        <w:autoSpaceDE w:val="0"/>
        <w:autoSpaceDN w:val="0"/>
        <w:adjustRightInd w:val="0"/>
        <w:ind w:left="2880" w:hanging="720"/>
      </w:pPr>
      <w:r>
        <w:lastRenderedPageBreak/>
        <w:t>A)</w:t>
      </w:r>
      <w:r>
        <w:tab/>
        <w:t>Low WAV has a vapor pressure less than or equal to 75 mmHg at 20</w:t>
      </w:r>
      <w:r w:rsidR="00667ACA">
        <w:t>°</w:t>
      </w:r>
      <w:r>
        <w:t>C (68</w:t>
      </w:r>
      <w:r w:rsidR="00667ACA">
        <w:t>°</w:t>
      </w:r>
      <w:r>
        <w:t xml:space="preserve">F), and shall use the following equation: </w:t>
      </w:r>
    </w:p>
    <w:p w:rsidR="009312BA" w:rsidRDefault="009312BA" w:rsidP="009312BA">
      <w:pPr>
        <w:widowControl w:val="0"/>
        <w:autoSpaceDE w:val="0"/>
        <w:autoSpaceDN w:val="0"/>
        <w:adjustRightInd w:val="0"/>
        <w:ind w:left="2880" w:hanging="720"/>
      </w:pPr>
    </w:p>
    <w:p w:rsidR="00C92657" w:rsidRDefault="00C92657" w:rsidP="00C92657">
      <w:pPr>
        <w:widowControl w:val="0"/>
        <w:autoSpaceDE w:val="0"/>
        <w:autoSpaceDN w:val="0"/>
        <w:adjustRightInd w:val="0"/>
        <w:ind w:left="2880"/>
      </w:pPr>
      <w:r w:rsidRPr="00C92657">
        <w:rPr>
          <w:position w:val="-10"/>
        </w:rPr>
        <w:object w:dxaOrig="2799" w:dyaOrig="340">
          <v:shape id="_x0000_i1026" type="#_x0000_t75" style="width:140.25pt;height:17.25pt" o:ole="">
            <v:imagedata r:id="rId7" o:title=""/>
          </v:shape>
          <o:OLEObject Type="Embed" ProgID="Equation.3" ShapeID="_x0000_i1026" DrawAspect="Content" ObjectID="_1401798947" r:id="rId8"/>
        </w:object>
      </w:r>
    </w:p>
    <w:p w:rsidR="009312BA" w:rsidRDefault="009312BA" w:rsidP="009312BA">
      <w:pPr>
        <w:widowControl w:val="0"/>
        <w:autoSpaceDE w:val="0"/>
        <w:autoSpaceDN w:val="0"/>
        <w:adjustRightInd w:val="0"/>
        <w:ind w:left="2880" w:hanging="720"/>
      </w:pPr>
    </w:p>
    <w:p w:rsidR="009312BA" w:rsidRDefault="009312BA" w:rsidP="009312BA">
      <w:pPr>
        <w:widowControl w:val="0"/>
        <w:autoSpaceDE w:val="0"/>
        <w:autoSpaceDN w:val="0"/>
        <w:adjustRightInd w:val="0"/>
        <w:ind w:left="2880" w:hanging="720"/>
      </w:pPr>
      <w:r>
        <w:t>B)</w:t>
      </w:r>
      <w:r>
        <w:tab/>
        <w:t>Moderate WAV has a vapor pressure greater than 75 mmHg but less than or equal to 150 mmHg at 20</w:t>
      </w:r>
      <w:r w:rsidR="00667ACA">
        <w:t>°</w:t>
      </w:r>
      <w:r>
        <w:t>C (68</w:t>
      </w:r>
      <w:r w:rsidR="00667ACA">
        <w:t>°</w:t>
      </w:r>
      <w:r>
        <w:t xml:space="preserve">F), and shall use the following equation: </w:t>
      </w:r>
    </w:p>
    <w:p w:rsidR="009312BA" w:rsidRDefault="009312BA" w:rsidP="009312BA">
      <w:pPr>
        <w:widowControl w:val="0"/>
        <w:autoSpaceDE w:val="0"/>
        <w:autoSpaceDN w:val="0"/>
        <w:adjustRightInd w:val="0"/>
        <w:ind w:left="2880" w:hanging="720"/>
      </w:pPr>
    </w:p>
    <w:p w:rsidR="00C92657" w:rsidRDefault="00C92657" w:rsidP="00C92657">
      <w:pPr>
        <w:widowControl w:val="0"/>
        <w:autoSpaceDE w:val="0"/>
        <w:autoSpaceDN w:val="0"/>
        <w:adjustRightInd w:val="0"/>
        <w:ind w:left="2880"/>
      </w:pPr>
      <w:r w:rsidRPr="00C92657">
        <w:rPr>
          <w:position w:val="-10"/>
        </w:rPr>
        <w:object w:dxaOrig="2780" w:dyaOrig="340">
          <v:shape id="_x0000_i1027" type="#_x0000_t75" style="width:138.75pt;height:17.25pt" o:ole="">
            <v:imagedata r:id="rId9" o:title=""/>
          </v:shape>
          <o:OLEObject Type="Embed" ProgID="Equation.3" ShapeID="_x0000_i1027" DrawAspect="Content" ObjectID="_1401798948" r:id="rId10"/>
        </w:object>
      </w:r>
    </w:p>
    <w:p w:rsidR="009312BA" w:rsidRDefault="009312BA" w:rsidP="009312BA">
      <w:pPr>
        <w:widowControl w:val="0"/>
        <w:autoSpaceDE w:val="0"/>
        <w:autoSpaceDN w:val="0"/>
        <w:adjustRightInd w:val="0"/>
        <w:ind w:left="2880" w:hanging="720"/>
      </w:pPr>
    </w:p>
    <w:p w:rsidR="009312BA" w:rsidRDefault="009312BA" w:rsidP="009312BA">
      <w:pPr>
        <w:widowControl w:val="0"/>
        <w:autoSpaceDE w:val="0"/>
        <w:autoSpaceDN w:val="0"/>
        <w:adjustRightInd w:val="0"/>
        <w:ind w:left="2880" w:hanging="720"/>
      </w:pPr>
      <w:r>
        <w:t>C)</w:t>
      </w:r>
      <w:r>
        <w:tab/>
        <w:t>High WAV has a vapor pressure greater than 150 mmHg at 20</w:t>
      </w:r>
      <w:r w:rsidR="00667ACA">
        <w:t>°</w:t>
      </w:r>
      <w:r>
        <w:t>C (68</w:t>
      </w:r>
      <w:r w:rsidR="00667ACA">
        <w:t>°</w:t>
      </w:r>
      <w:r>
        <w:t xml:space="preserve">F), and shall use the following equation: </w:t>
      </w:r>
    </w:p>
    <w:p w:rsidR="009312BA" w:rsidRDefault="009312BA" w:rsidP="009312BA">
      <w:pPr>
        <w:widowControl w:val="0"/>
        <w:autoSpaceDE w:val="0"/>
        <w:autoSpaceDN w:val="0"/>
        <w:adjustRightInd w:val="0"/>
        <w:ind w:left="2880" w:hanging="720"/>
      </w:pPr>
    </w:p>
    <w:p w:rsidR="00C92657" w:rsidRDefault="00C92657" w:rsidP="00C92657">
      <w:pPr>
        <w:widowControl w:val="0"/>
        <w:autoSpaceDE w:val="0"/>
        <w:autoSpaceDN w:val="0"/>
        <w:adjustRightInd w:val="0"/>
        <w:ind w:left="2880"/>
      </w:pPr>
      <w:r w:rsidRPr="00C92657">
        <w:rPr>
          <w:position w:val="-10"/>
        </w:rPr>
        <w:object w:dxaOrig="2780" w:dyaOrig="340">
          <v:shape id="_x0000_i1028" type="#_x0000_t75" style="width:138.75pt;height:17.25pt" o:ole="">
            <v:imagedata r:id="rId11" o:title=""/>
          </v:shape>
          <o:OLEObject Type="Embed" ProgID="Equation.3" ShapeID="_x0000_i1028" DrawAspect="Content" ObjectID="_1401798949" r:id="rId12"/>
        </w:object>
      </w:r>
    </w:p>
    <w:p w:rsidR="009312BA" w:rsidRDefault="009312BA" w:rsidP="009312BA">
      <w:pPr>
        <w:widowControl w:val="0"/>
        <w:autoSpaceDE w:val="0"/>
        <w:autoSpaceDN w:val="0"/>
        <w:adjustRightInd w:val="0"/>
        <w:ind w:left="2880" w:hanging="720"/>
      </w:pPr>
    </w:p>
    <w:p w:rsidR="009312BA" w:rsidRDefault="009312BA" w:rsidP="009312BA">
      <w:pPr>
        <w:widowControl w:val="0"/>
        <w:autoSpaceDE w:val="0"/>
        <w:autoSpaceDN w:val="0"/>
        <w:adjustRightInd w:val="0"/>
        <w:ind w:left="2160" w:hanging="720"/>
      </w:pPr>
      <w:r>
        <w:t>5)</w:t>
      </w:r>
      <w:r>
        <w:tab/>
        <w:t xml:space="preserve">To determine the vapor pressure of VOM, the applicable methods and procedures in Section 218.111 of this Part shall apply. </w:t>
      </w:r>
    </w:p>
    <w:p w:rsidR="009312BA" w:rsidRDefault="009312BA" w:rsidP="009312BA">
      <w:pPr>
        <w:widowControl w:val="0"/>
        <w:autoSpaceDE w:val="0"/>
        <w:autoSpaceDN w:val="0"/>
        <w:adjustRightInd w:val="0"/>
        <w:ind w:left="2160" w:hanging="720"/>
      </w:pPr>
    </w:p>
    <w:p w:rsidR="009312BA" w:rsidRDefault="009312BA" w:rsidP="009312BA">
      <w:pPr>
        <w:widowControl w:val="0"/>
        <w:autoSpaceDE w:val="0"/>
        <w:autoSpaceDN w:val="0"/>
        <w:adjustRightInd w:val="0"/>
        <w:ind w:left="1440" w:hanging="720"/>
      </w:pPr>
      <w:r>
        <w:t xml:space="preserve">(Source:  Added at 19 Ill. Reg. 7359, effective May 22, 1995) </w:t>
      </w:r>
    </w:p>
    <w:sectPr w:rsidR="009312BA" w:rsidSect="00931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2BA"/>
    <w:rsid w:val="00004ACD"/>
    <w:rsid w:val="000121EE"/>
    <w:rsid w:val="00264992"/>
    <w:rsid w:val="002B57FE"/>
    <w:rsid w:val="005C3366"/>
    <w:rsid w:val="005E2617"/>
    <w:rsid w:val="00667ACA"/>
    <w:rsid w:val="00707825"/>
    <w:rsid w:val="008F5CDA"/>
    <w:rsid w:val="009312BA"/>
    <w:rsid w:val="00B61EC3"/>
    <w:rsid w:val="00C92657"/>
    <w:rsid w:val="00E303BD"/>
    <w:rsid w:val="00F2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