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F6" w:rsidRPr="00245DF6" w:rsidRDefault="00245DF6" w:rsidP="00AF419A">
      <w:pPr>
        <w:rPr>
          <w:szCs w:val="24"/>
        </w:rPr>
      </w:pPr>
      <w:bookmarkStart w:id="0" w:name="_GoBack"/>
      <w:bookmarkEnd w:id="0"/>
    </w:p>
    <w:p w:rsidR="00245DF6" w:rsidRPr="00245DF6" w:rsidRDefault="00245DF6" w:rsidP="00AF419A">
      <w:pPr>
        <w:rPr>
          <w:b/>
          <w:szCs w:val="24"/>
        </w:rPr>
      </w:pPr>
      <w:r w:rsidRPr="00245DF6">
        <w:rPr>
          <w:b/>
          <w:szCs w:val="24"/>
        </w:rPr>
        <w:t>Section 217.340  Applicability</w:t>
      </w:r>
    </w:p>
    <w:p w:rsidR="00245DF6" w:rsidRPr="00245DF6" w:rsidRDefault="00245DF6" w:rsidP="00AF419A">
      <w:pPr>
        <w:rPr>
          <w:szCs w:val="24"/>
        </w:rPr>
      </w:pPr>
    </w:p>
    <w:p w:rsidR="00245DF6" w:rsidRPr="00245DF6" w:rsidRDefault="00245DF6" w:rsidP="00AF419A">
      <w:pPr>
        <w:rPr>
          <w:szCs w:val="24"/>
        </w:rPr>
      </w:pPr>
      <w:r w:rsidRPr="00245DF6">
        <w:rPr>
          <w:szCs w:val="24"/>
        </w:rPr>
        <w:t xml:space="preserve">Notwithstanding Subpart V or W of this Part, the provisions of Subpart </w:t>
      </w:r>
      <w:r w:rsidR="00081F1B">
        <w:rPr>
          <w:szCs w:val="24"/>
        </w:rPr>
        <w:t>D</w:t>
      </w:r>
      <w:r w:rsidRPr="00245DF6">
        <w:rPr>
          <w:szCs w:val="24"/>
        </w:rPr>
        <w:t xml:space="preserve"> of this Part and this Subpart apply to any </w:t>
      </w:r>
      <w:r w:rsidR="00810BF9">
        <w:rPr>
          <w:szCs w:val="24"/>
        </w:rPr>
        <w:t xml:space="preserve">fossil </w:t>
      </w:r>
      <w:r w:rsidRPr="00245DF6">
        <w:rPr>
          <w:szCs w:val="24"/>
        </w:rPr>
        <w:t xml:space="preserve">fuel-fired stationary boiler serving </w:t>
      </w:r>
      <w:r w:rsidR="00810BF9">
        <w:rPr>
          <w:szCs w:val="24"/>
        </w:rPr>
        <w:t xml:space="preserve">at any time </w:t>
      </w:r>
      <w:r w:rsidRPr="00245DF6">
        <w:rPr>
          <w:szCs w:val="24"/>
        </w:rPr>
        <w:t xml:space="preserve">a generator that has a nameplate capacity greater than 25 </w:t>
      </w:r>
      <w:proofErr w:type="spellStart"/>
      <w:r w:rsidRPr="00245DF6">
        <w:rPr>
          <w:szCs w:val="24"/>
        </w:rPr>
        <w:t>MWe</w:t>
      </w:r>
      <w:proofErr w:type="spellEnd"/>
      <w:r w:rsidRPr="00245DF6">
        <w:rPr>
          <w:szCs w:val="24"/>
        </w:rPr>
        <w:t xml:space="preserve"> and produces electricity for sale, excluding any units listed in Appendix D of this Part, located at sources subject to this Subpart pursuant to Section 217.150.</w:t>
      </w:r>
    </w:p>
    <w:p w:rsidR="00245DF6" w:rsidRPr="00245DF6" w:rsidRDefault="00245DF6" w:rsidP="00AF419A">
      <w:pPr>
        <w:rPr>
          <w:szCs w:val="24"/>
        </w:rPr>
      </w:pPr>
    </w:p>
    <w:p w:rsidR="00AF419A" w:rsidRDefault="00AF419A" w:rsidP="00AF41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AF41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2C" w:rsidRDefault="0001572C">
      <w:r>
        <w:separator/>
      </w:r>
    </w:p>
  </w:endnote>
  <w:endnote w:type="continuationSeparator" w:id="0">
    <w:p w:rsidR="0001572C" w:rsidRDefault="0001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2C" w:rsidRDefault="0001572C">
      <w:r>
        <w:separator/>
      </w:r>
    </w:p>
  </w:footnote>
  <w:footnote w:type="continuationSeparator" w:id="0">
    <w:p w:rsidR="0001572C" w:rsidRDefault="0001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466"/>
    <w:rsid w:val="00001F1D"/>
    <w:rsid w:val="00003CEF"/>
    <w:rsid w:val="00011A7D"/>
    <w:rsid w:val="000122C7"/>
    <w:rsid w:val="00014324"/>
    <w:rsid w:val="0001572C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F1B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5DF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4EAE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973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A0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4466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79F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BF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7F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7E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19A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1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404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3B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473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DF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DF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