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1C" w:rsidRPr="00D95F1C" w:rsidRDefault="00D95F1C" w:rsidP="00D95F1C">
      <w:bookmarkStart w:id="0" w:name="_GoBack"/>
      <w:bookmarkEnd w:id="0"/>
    </w:p>
    <w:p w:rsidR="00D95F1C" w:rsidRPr="00D95F1C" w:rsidRDefault="00D95F1C" w:rsidP="00D95F1C">
      <w:pPr>
        <w:rPr>
          <w:b/>
        </w:rPr>
      </w:pPr>
      <w:r w:rsidRPr="00D95F1C">
        <w:rPr>
          <w:b/>
        </w:rPr>
        <w:t>Section 217.164  Emissions Limitations</w:t>
      </w:r>
    </w:p>
    <w:p w:rsidR="00D95F1C" w:rsidRPr="00D95F1C" w:rsidRDefault="00D95F1C" w:rsidP="00D95F1C"/>
    <w:p w:rsidR="00D95F1C" w:rsidRPr="00D95F1C" w:rsidRDefault="005E75B9" w:rsidP="005E75B9">
      <w:pPr>
        <w:ind w:left="1440" w:hanging="720"/>
      </w:pPr>
      <w:r>
        <w:t>a)</w:t>
      </w:r>
      <w:r>
        <w:tab/>
      </w:r>
      <w:r w:rsidR="005B7085">
        <w:t>Except as provided for under Section 217.152, o</w:t>
      </w:r>
      <w:r w:rsidR="00D95F1C" w:rsidRPr="00D95F1C">
        <w:t xml:space="preserve">n and after January 1, </w:t>
      </w:r>
      <w:r w:rsidR="00B44B2B">
        <w:t>2015</w:t>
      </w:r>
      <w:r w:rsidR="00D95F1C" w:rsidRPr="00D95F1C">
        <w:t xml:space="preserve">, no person shall cause or allow emissions of </w:t>
      </w:r>
      <w:proofErr w:type="spellStart"/>
      <w:r w:rsidR="00D95F1C" w:rsidRPr="00D95F1C">
        <w:t>NO</w:t>
      </w:r>
      <w:r w:rsidR="00D95F1C" w:rsidRPr="00D95F1C">
        <w:rPr>
          <w:vertAlign w:val="subscript"/>
        </w:rPr>
        <w:t>x</w:t>
      </w:r>
      <w:proofErr w:type="spellEnd"/>
      <w:r w:rsidR="00D95F1C" w:rsidRPr="00D95F1C">
        <w:t xml:space="preserve"> into the atmosphere from any industrial boiler to exceed the following limitations.  Compliance must be demonstrated with the applicable emissions limitation on an ozone season and annual basis.</w:t>
      </w:r>
    </w:p>
    <w:p w:rsidR="00D95F1C" w:rsidRDefault="00D95F1C" w:rsidP="00D95F1C"/>
    <w:tbl>
      <w:tblPr>
        <w:tblW w:w="9594" w:type="dxa"/>
        <w:tblLook w:val="0000" w:firstRow="0" w:lastRow="0" w:firstColumn="0" w:lastColumn="0" w:noHBand="0" w:noVBand="0"/>
      </w:tblPr>
      <w:tblGrid>
        <w:gridCol w:w="3300"/>
        <w:gridCol w:w="3771"/>
        <w:gridCol w:w="2523"/>
      </w:tblGrid>
      <w:tr w:rsidR="00A26AAC" w:rsidTr="00157B6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AAC" w:rsidRDefault="00A26AAC" w:rsidP="00024657">
            <w:pPr>
              <w:tabs>
                <w:tab w:val="left" w:pos="675"/>
              </w:tabs>
              <w:ind w:left="27" w:right="1284"/>
              <w:jc w:val="center"/>
            </w:pPr>
            <w:r w:rsidRPr="00D95F1C">
              <w:t>Fuel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bottom"/>
          </w:tcPr>
          <w:p w:rsidR="00A26AAC" w:rsidRDefault="00A26AAC" w:rsidP="005E75B9">
            <w:pPr>
              <w:ind w:left="342" w:right="342"/>
              <w:jc w:val="center"/>
            </w:pPr>
            <w:r>
              <w:t>Emission Unit Type and Rated Heat Input Capacity (</w:t>
            </w:r>
            <w:proofErr w:type="spellStart"/>
            <w:r>
              <w:t>mmBtu</w:t>
            </w:r>
            <w:proofErr w:type="spellEnd"/>
            <w:r>
              <w:t>/hr)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A26AAC" w:rsidRDefault="00A26AAC" w:rsidP="00FD5B99">
            <w:pPr>
              <w:ind w:left="24"/>
              <w:jc w:val="center"/>
            </w:pPr>
            <w:proofErr w:type="spellStart"/>
            <w:r>
              <w:t>No</w:t>
            </w:r>
            <w:r w:rsidRPr="00EB4184">
              <w:rPr>
                <w:vertAlign w:val="subscript"/>
              </w:rPr>
              <w:t>x</w:t>
            </w:r>
            <w:proofErr w:type="spellEnd"/>
            <w:r>
              <w:t xml:space="preserve"> Emissions Limitation (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  <w:r>
              <w:t>) or Requirement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3300" w:type="dxa"/>
            <w:tcBorders>
              <w:top w:val="single" w:sz="4" w:space="0" w:color="auto"/>
            </w:tcBorders>
          </w:tcPr>
          <w:p w:rsidR="00157B63" w:rsidRDefault="00157B63" w:rsidP="004C52BF">
            <w:pPr>
              <w:ind w:left="1053" w:right="-132" w:hanging="360"/>
            </w:pPr>
          </w:p>
          <w:p w:rsidR="00A26AAC" w:rsidRDefault="005E75B9" w:rsidP="005E75B9">
            <w:pPr>
              <w:ind w:left="693" w:right="-132" w:hanging="360"/>
            </w:pPr>
            <w:r>
              <w:tab/>
            </w:r>
            <w:r w:rsidR="00A26AAC">
              <w:t>Natural Gas or Other Gaseous Fuels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157B63" w:rsidRDefault="00157B63" w:rsidP="005E75B9">
            <w:pPr>
              <w:tabs>
                <w:tab w:val="left" w:pos="-1596"/>
              </w:tabs>
              <w:ind w:left="342" w:right="342"/>
            </w:pPr>
          </w:p>
          <w:p w:rsidR="00A26AAC" w:rsidRDefault="00A26AAC" w:rsidP="005E75B9">
            <w:pPr>
              <w:tabs>
                <w:tab w:val="left" w:pos="-1596"/>
              </w:tabs>
              <w:ind w:left="342" w:right="342"/>
            </w:pPr>
            <w:r>
              <w:t>Industrial boiler greater than 100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157B63" w:rsidRDefault="00157B63" w:rsidP="00FD5B99">
            <w:pPr>
              <w:ind w:left="189"/>
            </w:pPr>
          </w:p>
          <w:p w:rsidR="00A26AAC" w:rsidRDefault="00A26AAC" w:rsidP="00FD5B99">
            <w:pPr>
              <w:ind w:left="189"/>
            </w:pPr>
            <w:r>
              <w:t>0.08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3300" w:type="dxa"/>
          </w:tcPr>
          <w:p w:rsidR="00A26AAC" w:rsidRDefault="00A26AAC" w:rsidP="004C52BF">
            <w:pPr>
              <w:ind w:left="450" w:right="-132" w:hanging="432"/>
            </w:pPr>
          </w:p>
        </w:tc>
        <w:tc>
          <w:tcPr>
            <w:tcW w:w="3771" w:type="dxa"/>
          </w:tcPr>
          <w:p w:rsidR="00A26AAC" w:rsidRDefault="00A26AAC" w:rsidP="005E75B9">
            <w:pPr>
              <w:tabs>
                <w:tab w:val="left" w:pos="-456"/>
              </w:tabs>
              <w:ind w:left="342" w:right="342"/>
            </w:pPr>
            <w:r>
              <w:t>Industrial boiler less than or equal to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Combustion tuning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300" w:type="dxa"/>
          </w:tcPr>
          <w:p w:rsidR="00A26AAC" w:rsidRDefault="00A26AAC" w:rsidP="004C52BF">
            <w:pPr>
              <w:tabs>
                <w:tab w:val="left" w:pos="-873"/>
              </w:tabs>
              <w:ind w:left="1035" w:right="-132" w:hanging="342"/>
            </w:pPr>
            <w:r>
              <w:t>Distillate Fuel Oil</w:t>
            </w: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greater than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0.10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300" w:type="dxa"/>
          </w:tcPr>
          <w:p w:rsidR="00A26AAC" w:rsidRDefault="00A26AAC" w:rsidP="004C52BF">
            <w:pPr>
              <w:ind w:left="450" w:right="-132" w:hanging="432"/>
            </w:pP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less than or equal to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Combustion tuning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300" w:type="dxa"/>
          </w:tcPr>
          <w:p w:rsidR="00A26AAC" w:rsidRDefault="00A26AAC" w:rsidP="004C52BF">
            <w:pPr>
              <w:tabs>
                <w:tab w:val="left" w:pos="-1026"/>
              </w:tabs>
              <w:ind w:left="1035" w:right="-132" w:hanging="360"/>
            </w:pPr>
            <w:r>
              <w:t>Other Liquid</w:t>
            </w:r>
            <w:r w:rsidR="00FD5B99">
              <w:t xml:space="preserve"> </w:t>
            </w:r>
            <w:r>
              <w:t>Fuels</w:t>
            </w: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greater than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0.15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3300" w:type="dxa"/>
          </w:tcPr>
          <w:p w:rsidR="00A26AAC" w:rsidRDefault="00A26AAC" w:rsidP="004C52BF">
            <w:pPr>
              <w:ind w:left="450" w:right="-132" w:firstLine="270"/>
            </w:pP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less than or equal to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Combustion tuning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3300" w:type="dxa"/>
          </w:tcPr>
          <w:p w:rsidR="00A26AAC" w:rsidRDefault="00A26AAC" w:rsidP="004C52BF">
            <w:pPr>
              <w:ind w:left="1035" w:right="-132" w:hanging="342"/>
            </w:pPr>
            <w:r>
              <w:t>Solid Fuel</w:t>
            </w: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greater than 100, circulating fluidized bed combustor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0.12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3300" w:type="dxa"/>
          </w:tcPr>
          <w:p w:rsidR="00A26AAC" w:rsidRDefault="00A26AAC" w:rsidP="004C52BF">
            <w:pPr>
              <w:ind w:left="720" w:right="-132"/>
            </w:pP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greater than 250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0.18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3300" w:type="dxa"/>
          </w:tcPr>
          <w:p w:rsidR="00A26AAC" w:rsidRDefault="00A26AAC" w:rsidP="004C52BF">
            <w:pPr>
              <w:ind w:left="720" w:right="-132"/>
            </w:pP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</w:t>
            </w:r>
            <w:r w:rsidR="00311350">
              <w:t xml:space="preserve"> </w:t>
            </w:r>
            <w:r>
              <w:t>greater tha</w:t>
            </w:r>
            <w:r w:rsidR="00311350">
              <w:t>n</w:t>
            </w:r>
            <w:r>
              <w:t xml:space="preserve"> 100 but less than or equal to 250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0.25</w:t>
            </w:r>
          </w:p>
        </w:tc>
      </w:tr>
      <w:tr w:rsidR="00A26AAC" w:rsidTr="00157B6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300" w:type="dxa"/>
          </w:tcPr>
          <w:p w:rsidR="00A26AAC" w:rsidRDefault="00A26AAC" w:rsidP="004C52BF">
            <w:pPr>
              <w:ind w:left="720" w:right="-132"/>
            </w:pPr>
          </w:p>
        </w:tc>
        <w:tc>
          <w:tcPr>
            <w:tcW w:w="3771" w:type="dxa"/>
          </w:tcPr>
          <w:p w:rsidR="00A26AAC" w:rsidRDefault="00A26AAC" w:rsidP="005E75B9">
            <w:pPr>
              <w:ind w:left="342" w:right="342"/>
            </w:pPr>
            <w:r>
              <w:t>Industrial boiler less than or equal to 100</w:t>
            </w:r>
          </w:p>
        </w:tc>
        <w:tc>
          <w:tcPr>
            <w:tcW w:w="2523" w:type="dxa"/>
          </w:tcPr>
          <w:p w:rsidR="00A26AAC" w:rsidRDefault="00A26AAC" w:rsidP="00FD5B99">
            <w:pPr>
              <w:ind w:left="189"/>
            </w:pPr>
            <w:r>
              <w:t>Combustion tuning</w:t>
            </w:r>
          </w:p>
        </w:tc>
      </w:tr>
    </w:tbl>
    <w:p w:rsidR="00A26AAC" w:rsidRPr="00D95F1C" w:rsidRDefault="00A26AAC" w:rsidP="00D95F1C"/>
    <w:p w:rsidR="00D95F1C" w:rsidRDefault="005E75B9" w:rsidP="00A26AAC">
      <w:pPr>
        <w:ind w:left="1440" w:hanging="720"/>
      </w:pPr>
      <w:r>
        <w:t>b</w:t>
      </w:r>
      <w:r w:rsidR="00D95F1C" w:rsidRPr="00D95F1C">
        <w:t>)</w:t>
      </w:r>
      <w:r w:rsidR="00A26AAC">
        <w:tab/>
      </w:r>
      <w:r w:rsidR="00D95F1C" w:rsidRPr="00D95F1C">
        <w:t xml:space="preserve">For an industrial boiler combusting a combination of natural gas, coke oven gas, and blast furnace gas, the </w:t>
      </w:r>
      <w:proofErr w:type="spellStart"/>
      <w:r w:rsidR="00D95F1C" w:rsidRPr="00D95F1C">
        <w:t>NO</w:t>
      </w:r>
      <w:r w:rsidR="00D95F1C" w:rsidRPr="00A26AAC">
        <w:rPr>
          <w:vertAlign w:val="subscript"/>
        </w:rPr>
        <w:t>x</w:t>
      </w:r>
      <w:proofErr w:type="spellEnd"/>
      <w:r w:rsidR="00D95F1C" w:rsidRPr="00D95F1C">
        <w:t xml:space="preserve"> emissions limitation shall be calculated using the following equation: </w:t>
      </w:r>
    </w:p>
    <w:p w:rsidR="000764EB" w:rsidRDefault="000764EB" w:rsidP="00B346F6">
      <w:pPr>
        <w:ind w:left="1440" w:hanging="15"/>
      </w:pPr>
    </w:p>
    <w:tbl>
      <w:tblPr>
        <w:tblW w:w="8037" w:type="dxa"/>
        <w:tblInd w:w="1419" w:type="dxa"/>
        <w:tblLook w:val="0000" w:firstRow="0" w:lastRow="0" w:firstColumn="0" w:lastColumn="0" w:noHBand="0" w:noVBand="0"/>
      </w:tblPr>
      <w:tblGrid>
        <w:gridCol w:w="1955"/>
        <w:gridCol w:w="352"/>
        <w:gridCol w:w="5730"/>
        <w:tblGridChange w:id="1">
          <w:tblGrid>
            <w:gridCol w:w="1955"/>
            <w:gridCol w:w="352"/>
            <w:gridCol w:w="5730"/>
          </w:tblGrid>
        </w:tblGridChange>
      </w:tblGrid>
      <w:tr w:rsidR="008C78A4" w:rsidTr="008C78A4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955" w:type="dxa"/>
          </w:tcPr>
          <w:p w:rsidR="00B346F6" w:rsidRDefault="00B346F6" w:rsidP="008C78A4">
            <w:pPr>
              <w:ind w:left="309" w:right="-109"/>
            </w:pPr>
            <w:proofErr w:type="spellStart"/>
            <w:r>
              <w:t>NO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emissions </w:t>
            </w:r>
            <w:r w:rsidR="008C78A4">
              <w:t>limitation</w:t>
            </w:r>
            <w:r>
              <w:t xml:space="preserve"> for period in 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  <w:tc>
          <w:tcPr>
            <w:tcW w:w="352" w:type="dxa"/>
            <w:vAlign w:val="center"/>
          </w:tcPr>
          <w:p w:rsidR="00B346F6" w:rsidRDefault="00B346F6" w:rsidP="008C78A4">
            <w:pPr>
              <w:jc w:val="center"/>
            </w:pPr>
            <w:r>
              <w:t>=</w:t>
            </w:r>
          </w:p>
        </w:tc>
        <w:tc>
          <w:tcPr>
            <w:tcW w:w="5730" w:type="dxa"/>
            <w:vAlign w:val="center"/>
          </w:tcPr>
          <w:p w:rsidR="00B346F6" w:rsidRDefault="00B346F6" w:rsidP="008C78A4">
            <w:pPr>
              <w:jc w:val="center"/>
            </w:pPr>
            <w:r w:rsidRPr="00FD6CDE">
              <w:rPr>
                <w:position w:val="-30"/>
              </w:rPr>
              <w:object w:dxaOrig="54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36pt" o:ole="">
                  <v:imagedata r:id="rId7" o:title=""/>
                </v:shape>
                <o:OLEObject Type="Embed" ProgID="Equation.3" ShapeID="_x0000_i1025" DrawAspect="Content" ObjectID="_1401798260" r:id="rId8"/>
              </w:object>
            </w:r>
          </w:p>
        </w:tc>
      </w:tr>
    </w:tbl>
    <w:p w:rsidR="000764EB" w:rsidRDefault="000764EB" w:rsidP="00A26AAC">
      <w:pPr>
        <w:ind w:left="1440" w:hanging="720"/>
      </w:pPr>
    </w:p>
    <w:p w:rsidR="000701DA" w:rsidRDefault="00D95F1C" w:rsidP="004C52BF">
      <w:pPr>
        <w:ind w:left="720" w:firstLine="963"/>
      </w:pPr>
      <w:r w:rsidRPr="00D95F1C">
        <w:t>Where:</w:t>
      </w:r>
    </w:p>
    <w:p w:rsidR="000701DA" w:rsidRDefault="000701DA" w:rsidP="000701DA">
      <w:pPr>
        <w:ind w:left="720" w:firstLine="720"/>
      </w:pPr>
    </w:p>
    <w:tbl>
      <w:tblPr>
        <w:tblW w:w="0" w:type="auto"/>
        <w:tblInd w:w="1989" w:type="dxa"/>
        <w:tblLook w:val="0000" w:firstRow="0" w:lastRow="0" w:firstColumn="0" w:lastColumn="0" w:noHBand="0" w:noVBand="0"/>
      </w:tblPr>
      <w:tblGrid>
        <w:gridCol w:w="1089"/>
        <w:gridCol w:w="270"/>
        <w:gridCol w:w="6228"/>
      </w:tblGrid>
      <w:tr w:rsidR="000701DA" w:rsidTr="000701D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9" w:type="dxa"/>
          </w:tcPr>
          <w:p w:rsidR="000701DA" w:rsidRDefault="008A671E" w:rsidP="000701DA">
            <w:pPr>
              <w:ind w:right="-102"/>
            </w:pPr>
            <w:r w:rsidRPr="008A671E">
              <w:rPr>
                <w:position w:val="-14"/>
              </w:rPr>
              <w:object w:dxaOrig="660" w:dyaOrig="380">
                <v:shape id="_x0000_i1026" type="#_x0000_t75" style="width:33pt;height:18.75pt" o:ole="">
                  <v:imagedata r:id="rId9" o:title=""/>
                </v:shape>
                <o:OLEObject Type="Embed" ProgID="Equation.3" ShapeID="_x0000_i1026" DrawAspect="Content" ObjectID="_1401798261" r:id="rId10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0701DA">
            <w:r w:rsidRPr="00D95F1C">
              <w:t xml:space="preserve">0.084 </w:t>
            </w:r>
            <w:proofErr w:type="spellStart"/>
            <w:r w:rsidRPr="00D95F1C">
              <w:t>lb</w:t>
            </w:r>
            <w:proofErr w:type="spellEnd"/>
            <w:r w:rsidRPr="00D95F1C">
              <w:t>/</w:t>
            </w:r>
            <w:proofErr w:type="spellStart"/>
            <w:r w:rsidR="00311350">
              <w:t>mm</w:t>
            </w:r>
            <w:r w:rsidRPr="00D95F1C">
              <w:t>Btu</w:t>
            </w:r>
            <w:proofErr w:type="spellEnd"/>
            <w:r w:rsidRPr="00D95F1C">
              <w:t xml:space="preserve"> for natural gas</w:t>
            </w:r>
          </w:p>
        </w:tc>
      </w:tr>
      <w:tr w:rsidR="000701DA" w:rsidTr="000701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9" w:type="dxa"/>
          </w:tcPr>
          <w:p w:rsidR="000701DA" w:rsidRDefault="008A671E" w:rsidP="000701DA">
            <w:pPr>
              <w:ind w:right="-102"/>
            </w:pPr>
            <w:r w:rsidRPr="000701DA">
              <w:rPr>
                <w:position w:val="-12"/>
              </w:rPr>
              <w:object w:dxaOrig="639" w:dyaOrig="360">
                <v:shape id="_x0000_i1027" type="#_x0000_t75" style="width:32.25pt;height:18pt" o:ole="">
                  <v:imagedata r:id="rId11" o:title=""/>
                </v:shape>
                <o:OLEObject Type="Embed" ProgID="Equation.3" ShapeID="_x0000_i1027" DrawAspect="Content" ObjectID="_1401798262" r:id="rId12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8A671E">
            <w:pPr>
              <w:ind w:right="-273"/>
            </w:pPr>
            <w:r w:rsidRPr="00D95F1C">
              <w:t xml:space="preserve">the heat </w:t>
            </w:r>
            <w:proofErr w:type="spellStart"/>
            <w:r w:rsidRPr="00D95F1C">
              <w:t>inpu</w:t>
            </w:r>
            <w:proofErr w:type="spellEnd"/>
            <w:r w:rsidRPr="00D95F1C">
              <w:t xml:space="preserve"> of natural gas in B</w:t>
            </w:r>
            <w:r w:rsidR="008A671E">
              <w:t>tu</w:t>
            </w:r>
            <w:r w:rsidRPr="00D95F1C">
              <w:t xml:space="preserve"> over that period</w:t>
            </w:r>
          </w:p>
        </w:tc>
      </w:tr>
      <w:tr w:rsidR="000701DA" w:rsidTr="000701D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89" w:type="dxa"/>
          </w:tcPr>
          <w:p w:rsidR="000701DA" w:rsidRDefault="002556FE" w:rsidP="000701DA">
            <w:pPr>
              <w:ind w:right="-102"/>
            </w:pPr>
            <w:r w:rsidRPr="002556FE">
              <w:rPr>
                <w:position w:val="-16"/>
              </w:rPr>
              <w:object w:dxaOrig="760" w:dyaOrig="400">
                <v:shape id="_x0000_i1028" type="#_x0000_t75" style="width:38.25pt;height:20.25pt" o:ole="">
                  <v:imagedata r:id="rId13" o:title=""/>
                </v:shape>
                <o:OLEObject Type="Embed" ProgID="Equation.3" ShapeID="_x0000_i1028" DrawAspect="Content" ObjectID="_1401798263" r:id="rId14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0701DA">
            <w:r w:rsidRPr="00D95F1C">
              <w:t xml:space="preserve">0.144 </w:t>
            </w:r>
            <w:proofErr w:type="spellStart"/>
            <w:r w:rsidRPr="00D95F1C">
              <w:t>lb</w:t>
            </w:r>
            <w:proofErr w:type="spellEnd"/>
            <w:r w:rsidRPr="00D95F1C">
              <w:t>/</w:t>
            </w:r>
            <w:proofErr w:type="spellStart"/>
            <w:r w:rsidR="00311350">
              <w:t>mm</w:t>
            </w:r>
            <w:r w:rsidRPr="00D95F1C">
              <w:t>Btu</w:t>
            </w:r>
            <w:proofErr w:type="spellEnd"/>
            <w:r w:rsidRPr="00D95F1C">
              <w:t xml:space="preserve"> for coke oven gas</w:t>
            </w:r>
          </w:p>
        </w:tc>
      </w:tr>
      <w:tr w:rsidR="000701DA" w:rsidTr="000701D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89" w:type="dxa"/>
          </w:tcPr>
          <w:p w:rsidR="000701DA" w:rsidRDefault="00A22847" w:rsidP="000701DA">
            <w:pPr>
              <w:ind w:right="-108"/>
            </w:pPr>
            <w:r w:rsidRPr="000701DA">
              <w:rPr>
                <w:position w:val="-12"/>
              </w:rPr>
              <w:object w:dxaOrig="740" w:dyaOrig="360">
                <v:shape id="_x0000_i1029" type="#_x0000_t75" style="width:36.75pt;height:18pt" o:ole="">
                  <v:imagedata r:id="rId15" o:title=""/>
                </v:shape>
                <o:OLEObject Type="Embed" ProgID="Equation.3" ShapeID="_x0000_i1029" DrawAspect="Content" ObjectID="_1401798264" r:id="rId16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0701DA">
            <w:r w:rsidRPr="00D95F1C">
              <w:t>the heat input of coke oven gas in B</w:t>
            </w:r>
            <w:r w:rsidR="008A671E">
              <w:t>tu</w:t>
            </w:r>
            <w:r w:rsidRPr="00D95F1C">
              <w:t xml:space="preserve"> over that period</w:t>
            </w:r>
          </w:p>
        </w:tc>
      </w:tr>
      <w:tr w:rsidR="000701DA" w:rsidTr="000701D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89" w:type="dxa"/>
          </w:tcPr>
          <w:p w:rsidR="000701DA" w:rsidRDefault="008A671E" w:rsidP="000701DA">
            <w:pPr>
              <w:ind w:right="-102"/>
            </w:pPr>
            <w:r w:rsidRPr="008A671E">
              <w:rPr>
                <w:position w:val="-16"/>
              </w:rPr>
              <w:object w:dxaOrig="760" w:dyaOrig="400">
                <v:shape id="_x0000_i1030" type="#_x0000_t75" style="width:38.25pt;height:20.25pt" o:ole="">
                  <v:imagedata r:id="rId17" o:title=""/>
                </v:shape>
                <o:OLEObject Type="Embed" ProgID="Equation.3" ShapeID="_x0000_i1030" DrawAspect="Content" ObjectID="_1401798265" r:id="rId18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0701DA">
            <w:r w:rsidRPr="00D95F1C">
              <w:t xml:space="preserve">0.0288 </w:t>
            </w:r>
            <w:proofErr w:type="spellStart"/>
            <w:r w:rsidRPr="00D95F1C">
              <w:t>lb</w:t>
            </w:r>
            <w:proofErr w:type="spellEnd"/>
            <w:r w:rsidRPr="00D95F1C">
              <w:t>/</w:t>
            </w:r>
            <w:proofErr w:type="spellStart"/>
            <w:r w:rsidR="00311350">
              <w:t>mm</w:t>
            </w:r>
            <w:r w:rsidRPr="00D95F1C">
              <w:t>Btu</w:t>
            </w:r>
            <w:proofErr w:type="spellEnd"/>
            <w:r w:rsidRPr="00D95F1C">
              <w:t xml:space="preserve"> for blast furnace gas</w:t>
            </w:r>
          </w:p>
        </w:tc>
      </w:tr>
      <w:tr w:rsidR="000701DA" w:rsidTr="000701DA">
        <w:tblPrEx>
          <w:tblCellMar>
            <w:top w:w="0" w:type="dxa"/>
            <w:bottom w:w="0" w:type="dxa"/>
          </w:tblCellMar>
        </w:tblPrEx>
        <w:tc>
          <w:tcPr>
            <w:tcW w:w="1089" w:type="dxa"/>
          </w:tcPr>
          <w:p w:rsidR="000701DA" w:rsidRDefault="008A671E" w:rsidP="000701DA">
            <w:pPr>
              <w:ind w:right="-102"/>
            </w:pPr>
            <w:r w:rsidRPr="000701DA">
              <w:rPr>
                <w:position w:val="-12"/>
              </w:rPr>
              <w:object w:dxaOrig="720" w:dyaOrig="360">
                <v:shape id="_x0000_i1031" type="#_x0000_t75" style="width:36pt;height:18pt" o:ole="">
                  <v:imagedata r:id="rId19" o:title=""/>
                </v:shape>
                <o:OLEObject Type="Embed" ProgID="Equation.3" ShapeID="_x0000_i1031" DrawAspect="Content" ObjectID="_1401798266" r:id="rId20"/>
              </w:object>
            </w:r>
          </w:p>
        </w:tc>
        <w:tc>
          <w:tcPr>
            <w:tcW w:w="270" w:type="dxa"/>
          </w:tcPr>
          <w:p w:rsidR="000701DA" w:rsidRDefault="000701DA" w:rsidP="000701DA">
            <w:pPr>
              <w:ind w:left="-108"/>
            </w:pPr>
            <w:r>
              <w:t>=</w:t>
            </w:r>
          </w:p>
        </w:tc>
        <w:tc>
          <w:tcPr>
            <w:tcW w:w="6228" w:type="dxa"/>
          </w:tcPr>
          <w:p w:rsidR="000701DA" w:rsidRDefault="000701DA" w:rsidP="000701DA">
            <w:r w:rsidRPr="00D95F1C">
              <w:t>the heat input of blast furnace gas in B</w:t>
            </w:r>
            <w:r w:rsidR="008A671E">
              <w:t>tu</w:t>
            </w:r>
            <w:r w:rsidRPr="00D95F1C">
              <w:t xml:space="preserve"> over that period</w:t>
            </w:r>
          </w:p>
        </w:tc>
      </w:tr>
    </w:tbl>
    <w:p w:rsidR="000701DA" w:rsidRDefault="000701DA" w:rsidP="000701DA">
      <w:pPr>
        <w:ind w:left="720" w:firstLine="720"/>
      </w:pPr>
    </w:p>
    <w:p w:rsidR="00B44B2B" w:rsidRPr="00D55B37" w:rsidRDefault="00B44B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94A94">
        <w:t>14627</w:t>
      </w:r>
      <w:r w:rsidRPr="00D55B37">
        <w:t xml:space="preserve">, effective </w:t>
      </w:r>
      <w:r w:rsidR="00B94A94">
        <w:t>August 22, 2011</w:t>
      </w:r>
      <w:r w:rsidRPr="00D55B37">
        <w:t>)</w:t>
      </w:r>
    </w:p>
    <w:sectPr w:rsidR="00B44B2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6E" w:rsidRDefault="00CA5F6E">
      <w:r>
        <w:separator/>
      </w:r>
    </w:p>
  </w:endnote>
  <w:endnote w:type="continuationSeparator" w:id="0">
    <w:p w:rsidR="00CA5F6E" w:rsidRDefault="00C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6E" w:rsidRDefault="00CA5F6E">
      <w:r>
        <w:separator/>
      </w:r>
    </w:p>
  </w:footnote>
  <w:footnote w:type="continuationSeparator" w:id="0">
    <w:p w:rsidR="00CA5F6E" w:rsidRDefault="00CA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C80"/>
    <w:rsid w:val="000005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657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1DA"/>
    <w:rsid w:val="00074368"/>
    <w:rsid w:val="000764EB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ED0"/>
    <w:rsid w:val="000C6D3D"/>
    <w:rsid w:val="000C75C8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B63"/>
    <w:rsid w:val="00163EEE"/>
    <w:rsid w:val="00164756"/>
    <w:rsid w:val="00165CF9"/>
    <w:rsid w:val="00174FFD"/>
    <w:rsid w:val="001813EB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6F3"/>
    <w:rsid w:val="001D7BEB"/>
    <w:rsid w:val="001E3074"/>
    <w:rsid w:val="001E630C"/>
    <w:rsid w:val="001E68EB"/>
    <w:rsid w:val="001F2A01"/>
    <w:rsid w:val="001F572B"/>
    <w:rsid w:val="002015E7"/>
    <w:rsid w:val="002047E2"/>
    <w:rsid w:val="00207D79"/>
    <w:rsid w:val="00212682"/>
    <w:rsid w:val="002133B1"/>
    <w:rsid w:val="00213BC5"/>
    <w:rsid w:val="00215E6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56FE"/>
    <w:rsid w:val="00261EB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1A11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350"/>
    <w:rsid w:val="00311C50"/>
    <w:rsid w:val="00314233"/>
    <w:rsid w:val="00322AC2"/>
    <w:rsid w:val="00323B50"/>
    <w:rsid w:val="00327B81"/>
    <w:rsid w:val="003303A2"/>
    <w:rsid w:val="0033189E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6C8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65E"/>
    <w:rsid w:val="00455043"/>
    <w:rsid w:val="004550F1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02F"/>
    <w:rsid w:val="004B0153"/>
    <w:rsid w:val="004B41BC"/>
    <w:rsid w:val="004B6FF4"/>
    <w:rsid w:val="004C52B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DA8"/>
    <w:rsid w:val="00542E97"/>
    <w:rsid w:val="00544B77"/>
    <w:rsid w:val="00550737"/>
    <w:rsid w:val="00552D2A"/>
    <w:rsid w:val="005559D4"/>
    <w:rsid w:val="0056157E"/>
    <w:rsid w:val="0056373E"/>
    <w:rsid w:val="0056501E"/>
    <w:rsid w:val="00571719"/>
    <w:rsid w:val="00571A8B"/>
    <w:rsid w:val="00573192"/>
    <w:rsid w:val="00573770"/>
    <w:rsid w:val="00575255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3CA1"/>
    <w:rsid w:val="005A73F7"/>
    <w:rsid w:val="005B7085"/>
    <w:rsid w:val="005C7438"/>
    <w:rsid w:val="005D35F3"/>
    <w:rsid w:val="005E03A7"/>
    <w:rsid w:val="005E3D55"/>
    <w:rsid w:val="005E75B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6F9"/>
    <w:rsid w:val="007268A0"/>
    <w:rsid w:val="00727763"/>
    <w:rsid w:val="007278C5"/>
    <w:rsid w:val="007316DC"/>
    <w:rsid w:val="00737469"/>
    <w:rsid w:val="00740393"/>
    <w:rsid w:val="00742136"/>
    <w:rsid w:val="00743F2D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96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71E"/>
    <w:rsid w:val="008B5152"/>
    <w:rsid w:val="008B56EA"/>
    <w:rsid w:val="008B77D8"/>
    <w:rsid w:val="008C1560"/>
    <w:rsid w:val="008C4FAF"/>
    <w:rsid w:val="008C5359"/>
    <w:rsid w:val="008C78A4"/>
    <w:rsid w:val="008D7182"/>
    <w:rsid w:val="008E68BC"/>
    <w:rsid w:val="008F2BEE"/>
    <w:rsid w:val="008F38AB"/>
    <w:rsid w:val="009053C8"/>
    <w:rsid w:val="00910413"/>
    <w:rsid w:val="00915C6D"/>
    <w:rsid w:val="009168BC"/>
    <w:rsid w:val="00921F8B"/>
    <w:rsid w:val="00922286"/>
    <w:rsid w:val="0093116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61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847"/>
    <w:rsid w:val="00A2373D"/>
    <w:rsid w:val="00A24E55"/>
    <w:rsid w:val="00A26AAC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275"/>
    <w:rsid w:val="00A86FF6"/>
    <w:rsid w:val="00A87EC5"/>
    <w:rsid w:val="00A91761"/>
    <w:rsid w:val="00A924AC"/>
    <w:rsid w:val="00A94967"/>
    <w:rsid w:val="00A95FCE"/>
    <w:rsid w:val="00A97CAE"/>
    <w:rsid w:val="00AA387B"/>
    <w:rsid w:val="00AA6F19"/>
    <w:rsid w:val="00AB12CF"/>
    <w:rsid w:val="00AB1466"/>
    <w:rsid w:val="00AC0DD5"/>
    <w:rsid w:val="00AC42CE"/>
    <w:rsid w:val="00AC4914"/>
    <w:rsid w:val="00AC6F0C"/>
    <w:rsid w:val="00AC7225"/>
    <w:rsid w:val="00AD208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7BB"/>
    <w:rsid w:val="00B15414"/>
    <w:rsid w:val="00B156BD"/>
    <w:rsid w:val="00B17273"/>
    <w:rsid w:val="00B17D78"/>
    <w:rsid w:val="00B23B52"/>
    <w:rsid w:val="00B2411F"/>
    <w:rsid w:val="00B25B52"/>
    <w:rsid w:val="00B346F6"/>
    <w:rsid w:val="00B34F63"/>
    <w:rsid w:val="00B35D67"/>
    <w:rsid w:val="00B420C1"/>
    <w:rsid w:val="00B4287F"/>
    <w:rsid w:val="00B44A11"/>
    <w:rsid w:val="00B44B2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99D"/>
    <w:rsid w:val="00B817A1"/>
    <w:rsid w:val="00B839A1"/>
    <w:rsid w:val="00B83B6B"/>
    <w:rsid w:val="00B8444F"/>
    <w:rsid w:val="00B86B5A"/>
    <w:rsid w:val="00B94A94"/>
    <w:rsid w:val="00BA2E0F"/>
    <w:rsid w:val="00BA4E4D"/>
    <w:rsid w:val="00BB0A4F"/>
    <w:rsid w:val="00BB230E"/>
    <w:rsid w:val="00BB6CAC"/>
    <w:rsid w:val="00BC000F"/>
    <w:rsid w:val="00BC00FF"/>
    <w:rsid w:val="00BC7732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BEF"/>
    <w:rsid w:val="00C42A93"/>
    <w:rsid w:val="00C43DDF"/>
    <w:rsid w:val="00C4537A"/>
    <w:rsid w:val="00C45BEB"/>
    <w:rsid w:val="00C50195"/>
    <w:rsid w:val="00C56BD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F6E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5F1C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E56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3C80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41E"/>
    <w:rsid w:val="00E82718"/>
    <w:rsid w:val="00E840DC"/>
    <w:rsid w:val="00E8439B"/>
    <w:rsid w:val="00E9281A"/>
    <w:rsid w:val="00E92947"/>
    <w:rsid w:val="00EA0AB9"/>
    <w:rsid w:val="00EA3AC2"/>
    <w:rsid w:val="00EA55CD"/>
    <w:rsid w:val="00EA5A76"/>
    <w:rsid w:val="00EA5FA3"/>
    <w:rsid w:val="00EA6628"/>
    <w:rsid w:val="00EB33C3"/>
    <w:rsid w:val="00EB4184"/>
    <w:rsid w:val="00EB424E"/>
    <w:rsid w:val="00EC3846"/>
    <w:rsid w:val="00EC5D4A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1E8C"/>
    <w:rsid w:val="00FB6CE4"/>
    <w:rsid w:val="00FC18E5"/>
    <w:rsid w:val="00FC2BF7"/>
    <w:rsid w:val="00FC3252"/>
    <w:rsid w:val="00FC34CE"/>
    <w:rsid w:val="00FC7A26"/>
    <w:rsid w:val="00FD25DA"/>
    <w:rsid w:val="00FD38AB"/>
    <w:rsid w:val="00FD5B99"/>
    <w:rsid w:val="00FD6CDE"/>
    <w:rsid w:val="00FD7B30"/>
    <w:rsid w:val="00FE61D8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F1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D95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DefaultUnderline">
    <w:name w:val="Style Default + Underline"/>
    <w:basedOn w:val="Default"/>
    <w:rsid w:val="00D95F1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F1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D95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DefaultUnderline">
    <w:name w:val="Style Default + Underline"/>
    <w:basedOn w:val="Default"/>
    <w:rsid w:val="00D95F1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cp:lastPrinted>2009-05-14T20:27:00Z</cp:lastPrinted>
  <dcterms:created xsi:type="dcterms:W3CDTF">2012-06-21T19:29:00Z</dcterms:created>
  <dcterms:modified xsi:type="dcterms:W3CDTF">2012-06-21T19:29:00Z</dcterms:modified>
</cp:coreProperties>
</file>