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BE" w:rsidRDefault="007919AC" w:rsidP="00FD20BE">
      <w:pPr>
        <w:widowControl w:val="0"/>
        <w:autoSpaceDE w:val="0"/>
        <w:autoSpaceDN w:val="0"/>
        <w:adjustRightInd w:val="0"/>
      </w:pPr>
      <w:bookmarkStart w:id="0" w:name="_GoBack"/>
      <w:bookmarkEnd w:id="0"/>
      <w:r>
        <w:br w:type="page"/>
      </w:r>
      <w:r w:rsidR="00FD20BE">
        <w:rPr>
          <w:b/>
          <w:bCs/>
        </w:rPr>
        <w:t xml:space="preserve">Section 215.APPENDIX E  </w:t>
      </w:r>
      <w:r>
        <w:rPr>
          <w:b/>
          <w:bCs/>
        </w:rPr>
        <w:t xml:space="preserve"> </w:t>
      </w:r>
      <w:r w:rsidR="00FD20BE">
        <w:rPr>
          <w:b/>
          <w:bCs/>
        </w:rPr>
        <w:t>Reference Methods and Procedures</w:t>
      </w:r>
      <w:r w:rsidR="00FD20BE">
        <w:t xml:space="preserve"> </w:t>
      </w:r>
    </w:p>
    <w:p w:rsidR="00FD20BE" w:rsidRDefault="00FD20BE" w:rsidP="00FD20BE">
      <w:pPr>
        <w:widowControl w:val="0"/>
        <w:autoSpaceDE w:val="0"/>
        <w:autoSpaceDN w:val="0"/>
        <w:adjustRightInd w:val="0"/>
      </w:pPr>
    </w:p>
    <w:p w:rsidR="00FD20BE" w:rsidRDefault="00FD20BE" w:rsidP="00FD20BE">
      <w:pPr>
        <w:widowControl w:val="0"/>
        <w:autoSpaceDE w:val="0"/>
        <w:autoSpaceDN w:val="0"/>
        <w:adjustRightInd w:val="0"/>
        <w:jc w:val="center"/>
      </w:pPr>
      <w:r>
        <w:t>I</w:t>
      </w:r>
      <w:r w:rsidR="007919AC">
        <w:t>ntroduction</w:t>
      </w:r>
    </w:p>
    <w:p w:rsidR="00FD20BE" w:rsidRDefault="00FD20BE" w:rsidP="00FD20BE">
      <w:pPr>
        <w:widowControl w:val="0"/>
        <w:autoSpaceDE w:val="0"/>
        <w:autoSpaceDN w:val="0"/>
        <w:adjustRightInd w:val="0"/>
        <w:jc w:val="center"/>
      </w:pPr>
    </w:p>
    <w:p w:rsidR="00FD20BE" w:rsidRDefault="00FD20BE" w:rsidP="00FD20BE">
      <w:pPr>
        <w:widowControl w:val="0"/>
        <w:autoSpaceDE w:val="0"/>
        <w:autoSpaceDN w:val="0"/>
        <w:adjustRightInd w:val="0"/>
      </w:pPr>
      <w:r>
        <w:t xml:space="preserve">This Appendix presents the reference methods and procedures required for implementing Reasonably Available Control Technology (RACT).  Methods and procedures are identified for two types of ACT implementation:   </w:t>
      </w:r>
    </w:p>
    <w:p w:rsidR="009211AB" w:rsidRDefault="009211AB" w:rsidP="00FD20BE">
      <w:pPr>
        <w:widowControl w:val="0"/>
        <w:autoSpaceDE w:val="0"/>
        <w:autoSpaceDN w:val="0"/>
        <w:adjustRightInd w:val="0"/>
      </w:pPr>
    </w:p>
    <w:p w:rsidR="00FD20BE" w:rsidRDefault="00FD20BE" w:rsidP="00FD20BE">
      <w:pPr>
        <w:widowControl w:val="0"/>
        <w:autoSpaceDE w:val="0"/>
        <w:autoSpaceDN w:val="0"/>
        <w:adjustRightInd w:val="0"/>
        <w:ind w:left="1440" w:hanging="720"/>
      </w:pPr>
      <w:r>
        <w:t>a)</w:t>
      </w:r>
      <w:r>
        <w:tab/>
        <w:t xml:space="preserve">Determination of VOC destruction efficiency for evaluating compliance with the 98 weight percent VOC reduction or 20 </w:t>
      </w:r>
      <w:proofErr w:type="spellStart"/>
      <w:r>
        <w:t>ppmv</w:t>
      </w:r>
      <w:proofErr w:type="spellEnd"/>
      <w:r>
        <w:t xml:space="preserve"> emission limit specified in Sections 215.520 through 215.527; and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b)</w:t>
      </w:r>
      <w:r>
        <w:tab/>
        <w:t xml:space="preserve">Determination of </w:t>
      </w:r>
      <w:proofErr w:type="spellStart"/>
      <w:r>
        <w:t>offgas</w:t>
      </w:r>
      <w:proofErr w:type="spellEnd"/>
      <w:r>
        <w:t xml:space="preserve"> </w:t>
      </w:r>
      <w:proofErr w:type="spellStart"/>
      <w:r>
        <w:t>flowrate</w:t>
      </w:r>
      <w:proofErr w:type="spellEnd"/>
      <w:r>
        <w:t xml:space="preserve">, hourly emissions and stream net heating value for calculating TRE. </w:t>
      </w:r>
    </w:p>
    <w:p w:rsidR="009211AB" w:rsidRDefault="009211AB" w:rsidP="00FD20BE">
      <w:pPr>
        <w:widowControl w:val="0"/>
        <w:autoSpaceDE w:val="0"/>
        <w:autoSpaceDN w:val="0"/>
        <w:adjustRightInd w:val="0"/>
      </w:pPr>
    </w:p>
    <w:p w:rsidR="00FD20BE" w:rsidRDefault="00FD20BE" w:rsidP="00FD20BE">
      <w:pPr>
        <w:widowControl w:val="0"/>
        <w:autoSpaceDE w:val="0"/>
        <w:autoSpaceDN w:val="0"/>
        <w:adjustRightInd w:val="0"/>
      </w:pPr>
      <w:r>
        <w:t xml:space="preserve">All reference methods identified in this Appendix refer to the reference methods specified at 40 CFR 60, Appendix A, incorporated by reference in Section 215.105. </w:t>
      </w:r>
    </w:p>
    <w:p w:rsidR="00FD20BE" w:rsidRDefault="00FD20BE" w:rsidP="00FD20BE">
      <w:pPr>
        <w:widowControl w:val="0"/>
        <w:autoSpaceDE w:val="0"/>
        <w:autoSpaceDN w:val="0"/>
        <w:adjustRightInd w:val="0"/>
      </w:pPr>
    </w:p>
    <w:p w:rsidR="00FD20BE" w:rsidRDefault="00FD20BE" w:rsidP="00FD20BE">
      <w:pPr>
        <w:widowControl w:val="0"/>
        <w:autoSpaceDE w:val="0"/>
        <w:autoSpaceDN w:val="0"/>
        <w:adjustRightInd w:val="0"/>
        <w:jc w:val="center"/>
      </w:pPr>
      <w:r>
        <w:t>VOC DESTRUCTION EFFICIENCY DETERMINATION</w:t>
      </w:r>
    </w:p>
    <w:p w:rsidR="00FD20BE" w:rsidRDefault="00FD20BE" w:rsidP="00FD20BE">
      <w:pPr>
        <w:widowControl w:val="0"/>
        <w:autoSpaceDE w:val="0"/>
        <w:autoSpaceDN w:val="0"/>
        <w:adjustRightInd w:val="0"/>
        <w:jc w:val="center"/>
      </w:pPr>
    </w:p>
    <w:p w:rsidR="00FD20BE" w:rsidRDefault="00FD20BE" w:rsidP="00FD20BE">
      <w:pPr>
        <w:widowControl w:val="0"/>
        <w:autoSpaceDE w:val="0"/>
        <w:autoSpaceDN w:val="0"/>
        <w:adjustRightInd w:val="0"/>
      </w:pPr>
      <w:r>
        <w:t xml:space="preserve">The following reference methods and procedures are required for determining compliance with the percent destruction efficiency specified in Sections 215.520 through 215.527. </w:t>
      </w:r>
    </w:p>
    <w:p w:rsidR="009211AB" w:rsidRDefault="009211AB" w:rsidP="00FD20BE">
      <w:pPr>
        <w:widowControl w:val="0"/>
        <w:autoSpaceDE w:val="0"/>
        <w:autoSpaceDN w:val="0"/>
        <w:adjustRightInd w:val="0"/>
      </w:pPr>
    </w:p>
    <w:p w:rsidR="00FD20BE" w:rsidRDefault="00FD20BE" w:rsidP="00FD20BE">
      <w:pPr>
        <w:widowControl w:val="0"/>
        <w:autoSpaceDE w:val="0"/>
        <w:autoSpaceDN w:val="0"/>
        <w:adjustRightInd w:val="0"/>
        <w:ind w:left="1440" w:hanging="720"/>
      </w:pPr>
      <w:r>
        <w:t>a)</w:t>
      </w:r>
      <w:r>
        <w:tab/>
        <w:t xml:space="preserve">Reference Method 1 or 1A for selection of the sampling site.  The control device inlet sampling site for determination of vent stream molar composition or total organic compound destruction efficiency shall be prior to the inlet of any control device and after all recovery devices.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b)</w:t>
      </w:r>
      <w:r>
        <w:tab/>
        <w:t xml:space="preserve">Reference Methods 2, 2A, 2C or 2D for determination of the volumetric </w:t>
      </w:r>
      <w:proofErr w:type="spellStart"/>
      <w:r>
        <w:t>flowrate</w:t>
      </w:r>
      <w:proofErr w:type="spellEnd"/>
      <w:r>
        <w:t xml:space="preserve">.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c)</w:t>
      </w:r>
      <w:r>
        <w:tab/>
        <w:t xml:space="preserve">Reference Method 3 to measure oxygen concentration of the air dilution correction.  The emission sample shall be corrected to 3 percent oxygen.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d)</w:t>
      </w:r>
      <w:r>
        <w:tab/>
        <w:t xml:space="preserve">Reference Method 18 to determine the concentration of total organic compounds (minus methane and ethane) in the control device outlet and total organic compound reduction efficiency of the control device. </w:t>
      </w:r>
    </w:p>
    <w:p w:rsidR="00FD20BE" w:rsidRDefault="00FD20BE"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jc w:val="center"/>
      </w:pPr>
      <w:r>
        <w:t>TRE DETERMINATION</w:t>
      </w:r>
    </w:p>
    <w:p w:rsidR="00FD20BE" w:rsidRDefault="00FD20BE" w:rsidP="00FD20BE">
      <w:pPr>
        <w:widowControl w:val="0"/>
        <w:autoSpaceDE w:val="0"/>
        <w:autoSpaceDN w:val="0"/>
        <w:adjustRightInd w:val="0"/>
        <w:ind w:left="1440" w:hanging="720"/>
        <w:jc w:val="center"/>
      </w:pPr>
    </w:p>
    <w:p w:rsidR="00FD20BE" w:rsidRDefault="00FD20BE" w:rsidP="00FD20BE">
      <w:pPr>
        <w:widowControl w:val="0"/>
        <w:autoSpaceDE w:val="0"/>
        <w:autoSpaceDN w:val="0"/>
        <w:adjustRightInd w:val="0"/>
      </w:pPr>
      <w:r>
        <w:t xml:space="preserve">The following reference methods and procedures are required for determining the </w:t>
      </w:r>
      <w:proofErr w:type="spellStart"/>
      <w:r>
        <w:t>offgas</w:t>
      </w:r>
      <w:proofErr w:type="spellEnd"/>
      <w:r>
        <w:t xml:space="preserve"> </w:t>
      </w:r>
      <w:proofErr w:type="spellStart"/>
      <w:r>
        <w:t>flowrate</w:t>
      </w:r>
      <w:proofErr w:type="spellEnd"/>
      <w:r>
        <w:t xml:space="preserve">, hourly emissions, and the net heating value of the gas combusted to calculate the vent stream TRE. </w:t>
      </w:r>
    </w:p>
    <w:p w:rsidR="009211AB" w:rsidRDefault="009211AB" w:rsidP="00FD20BE">
      <w:pPr>
        <w:widowControl w:val="0"/>
        <w:autoSpaceDE w:val="0"/>
        <w:autoSpaceDN w:val="0"/>
        <w:adjustRightInd w:val="0"/>
      </w:pPr>
    </w:p>
    <w:p w:rsidR="00FD20BE" w:rsidRDefault="00FD20BE" w:rsidP="00FD20BE">
      <w:pPr>
        <w:widowControl w:val="0"/>
        <w:autoSpaceDE w:val="0"/>
        <w:autoSpaceDN w:val="0"/>
        <w:adjustRightInd w:val="0"/>
        <w:ind w:left="1440" w:hanging="720"/>
      </w:pPr>
      <w:r>
        <w:t>a)</w:t>
      </w:r>
      <w:r>
        <w:tab/>
        <w:t xml:space="preserve">Reference Method 1 or 1A for selection of the sampling site.  The sampling site for the vent stream </w:t>
      </w:r>
      <w:proofErr w:type="spellStart"/>
      <w:r>
        <w:t>flowrate</w:t>
      </w:r>
      <w:proofErr w:type="spellEnd"/>
      <w:r>
        <w:t xml:space="preserve"> and molar composition determination prescribed in (b) and (c) shall be prior to the inlet of any combustion device, prior to any post-reactor dilution of the stream with air and prior to any post-reactor introduction of halogenated compounds into the vent stream.  Subject to the preceding restrictions on the sampling site, it shall be after the final recovery device.  If any gas stream other than the air oxidation vent stream is normally conducted through the recovery system of the affected facility, such stream shall be rerouted or turned off while the vent stream is sampled, but shall be routed normally prior to the measuring of the initial value of the monitored parameters for determining compliance with the recommended RACT. If the air oxidation vent stream is normally routed through any equipment which is not a part of the air oxidation process as defined in 35 Ill. Adm. Code 211.122, such equipment shall be bypassed by the vent stream while the vent stream is sampled, but shall not be bypassed during the measurement of the initial value of the monitored parameters for determining compliance with Subpart V.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b)</w:t>
      </w:r>
      <w:r>
        <w:tab/>
        <w:t xml:space="preserve">The molar composition of the vent stream shall be determined using the following methods:   </w:t>
      </w:r>
    </w:p>
    <w:p w:rsidR="009211AB" w:rsidRDefault="009211AB" w:rsidP="00FD20BE">
      <w:pPr>
        <w:widowControl w:val="0"/>
        <w:autoSpaceDE w:val="0"/>
        <w:autoSpaceDN w:val="0"/>
        <w:adjustRightInd w:val="0"/>
        <w:ind w:left="2160" w:hanging="720"/>
      </w:pPr>
    </w:p>
    <w:p w:rsidR="00FD20BE" w:rsidRDefault="00FD20BE" w:rsidP="00FD20BE">
      <w:pPr>
        <w:widowControl w:val="0"/>
        <w:autoSpaceDE w:val="0"/>
        <w:autoSpaceDN w:val="0"/>
        <w:adjustRightInd w:val="0"/>
        <w:ind w:left="2160" w:hanging="720"/>
      </w:pPr>
      <w:r>
        <w:t>1)</w:t>
      </w:r>
      <w:r>
        <w:tab/>
        <w:t xml:space="preserve">Reference Method 18 to measure the concentration of all organics, including those containing halogens, unless a significant portion of the compounds of interest are polymeric (high molecular weight), can polymerize before analysis or have low vapor pressures, in which case Reference Method 25(a) shall be used. </w:t>
      </w:r>
    </w:p>
    <w:p w:rsidR="009211AB" w:rsidRDefault="009211AB" w:rsidP="00FD20BE">
      <w:pPr>
        <w:widowControl w:val="0"/>
        <w:autoSpaceDE w:val="0"/>
        <w:autoSpaceDN w:val="0"/>
        <w:adjustRightInd w:val="0"/>
        <w:ind w:left="2160" w:hanging="720"/>
      </w:pPr>
    </w:p>
    <w:p w:rsidR="00FD20BE" w:rsidRDefault="00FD20BE" w:rsidP="00FD20BE">
      <w:pPr>
        <w:widowControl w:val="0"/>
        <w:autoSpaceDE w:val="0"/>
        <w:autoSpaceDN w:val="0"/>
        <w:adjustRightInd w:val="0"/>
        <w:ind w:left="2160" w:hanging="720"/>
      </w:pPr>
      <w:r>
        <w:t>2)</w:t>
      </w:r>
      <w:r>
        <w:tab/>
        <w:t xml:space="preserve">ASTM D1946-67 (reapproved 1977), incorporated by reference in Section 215.105, to measure the concentration of carbon monoxide and hydrogen. </w:t>
      </w:r>
    </w:p>
    <w:p w:rsidR="009211AB" w:rsidRDefault="009211AB" w:rsidP="00FD20BE">
      <w:pPr>
        <w:widowControl w:val="0"/>
        <w:autoSpaceDE w:val="0"/>
        <w:autoSpaceDN w:val="0"/>
        <w:adjustRightInd w:val="0"/>
        <w:ind w:left="2160" w:hanging="720"/>
      </w:pPr>
    </w:p>
    <w:p w:rsidR="00FD20BE" w:rsidRDefault="00FD20BE" w:rsidP="00FD20BE">
      <w:pPr>
        <w:widowControl w:val="0"/>
        <w:autoSpaceDE w:val="0"/>
        <w:autoSpaceDN w:val="0"/>
        <w:adjustRightInd w:val="0"/>
        <w:ind w:left="2160" w:hanging="720"/>
      </w:pPr>
      <w:r>
        <w:t>3)</w:t>
      </w:r>
      <w:r>
        <w:tab/>
        <w:t xml:space="preserve">Reference Method 4 to measure the content of water vapor, if necessary.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c)</w:t>
      </w:r>
      <w:r>
        <w:tab/>
        <w:t xml:space="preserve">The volumetric </w:t>
      </w:r>
      <w:proofErr w:type="spellStart"/>
      <w:r>
        <w:t>flowrate</w:t>
      </w:r>
      <w:proofErr w:type="spellEnd"/>
      <w:r>
        <w:t xml:space="preserve"> shall be determined using Reference Method 2, 2A, 2C or 2D, as appropriate. </w:t>
      </w:r>
    </w:p>
    <w:p w:rsidR="009211AB" w:rsidRDefault="009211AB" w:rsidP="00FD20BE">
      <w:pPr>
        <w:widowControl w:val="0"/>
        <w:autoSpaceDE w:val="0"/>
        <w:autoSpaceDN w:val="0"/>
        <w:adjustRightInd w:val="0"/>
        <w:ind w:left="1440" w:hanging="720"/>
      </w:pPr>
    </w:p>
    <w:p w:rsidR="00FD20BE" w:rsidRDefault="00FD20BE" w:rsidP="00FD20BE">
      <w:pPr>
        <w:widowControl w:val="0"/>
        <w:autoSpaceDE w:val="0"/>
        <w:autoSpaceDN w:val="0"/>
        <w:adjustRightInd w:val="0"/>
        <w:ind w:left="1440" w:hanging="720"/>
      </w:pPr>
      <w:r>
        <w:t>d)</w:t>
      </w:r>
      <w:r>
        <w:tab/>
        <w:t xml:space="preserve">The net heating value of the vent stream shall be calculated using the following equation: </w:t>
      </w:r>
    </w:p>
    <w:p w:rsidR="00EE30E0" w:rsidRDefault="00EE30E0" w:rsidP="00FD20BE">
      <w:pPr>
        <w:widowControl w:val="0"/>
        <w:autoSpaceDE w:val="0"/>
        <w:autoSpaceDN w:val="0"/>
        <w:adjustRightInd w:val="0"/>
        <w:ind w:left="1440" w:hanging="720"/>
      </w:pPr>
    </w:p>
    <w:tbl>
      <w:tblPr>
        <w:tblW w:w="5319" w:type="dxa"/>
        <w:tblInd w:w="3708" w:type="dxa"/>
        <w:tblLayout w:type="fixed"/>
        <w:tblLook w:val="0000" w:firstRow="0" w:lastRow="0" w:firstColumn="0" w:lastColumn="0" w:noHBand="0" w:noVBand="0"/>
      </w:tblPr>
      <w:tblGrid>
        <w:gridCol w:w="393"/>
        <w:gridCol w:w="255"/>
        <w:gridCol w:w="279"/>
        <w:gridCol w:w="513"/>
        <w:gridCol w:w="3879"/>
      </w:tblGrid>
      <w:tr w:rsidR="00EE30E0">
        <w:tblPrEx>
          <w:tblCellMar>
            <w:top w:w="0" w:type="dxa"/>
            <w:bottom w:w="0" w:type="dxa"/>
          </w:tblCellMar>
        </w:tblPrEx>
        <w:tc>
          <w:tcPr>
            <w:tcW w:w="393" w:type="dxa"/>
            <w:vMerge w:val="restart"/>
            <w:vAlign w:val="center"/>
          </w:tcPr>
          <w:p w:rsidR="00EE30E0" w:rsidRDefault="00EE30E0" w:rsidP="002748F5">
            <w:pPr>
              <w:rPr>
                <w:rFonts w:ascii="CG Times" w:hAnsi="CG Times" w:cs="CG Times"/>
              </w:rPr>
            </w:pPr>
            <w:r>
              <w:rPr>
                <w:rFonts w:ascii="CG Times" w:hAnsi="CG Times" w:cs="CG Times"/>
              </w:rPr>
              <w:t>H</w:t>
            </w:r>
          </w:p>
        </w:tc>
        <w:tc>
          <w:tcPr>
            <w:tcW w:w="255" w:type="dxa"/>
            <w:vMerge w:val="restart"/>
            <w:vAlign w:val="center"/>
          </w:tcPr>
          <w:p w:rsidR="00EE30E0" w:rsidRDefault="00EE30E0" w:rsidP="002748F5">
            <w:pPr>
              <w:ind w:left="-141" w:right="-90"/>
              <w:jc w:val="center"/>
              <w:rPr>
                <w:rFonts w:ascii="CG Times" w:hAnsi="CG Times" w:cs="CG Times"/>
              </w:rPr>
            </w:pPr>
            <w:r>
              <w:rPr>
                <w:rFonts w:ascii="CG Times" w:hAnsi="CG Times" w:cs="CG Times"/>
              </w:rPr>
              <w:t>=</w:t>
            </w:r>
          </w:p>
        </w:tc>
        <w:tc>
          <w:tcPr>
            <w:tcW w:w="279" w:type="dxa"/>
            <w:vMerge w:val="restart"/>
            <w:vAlign w:val="center"/>
          </w:tcPr>
          <w:p w:rsidR="00EE30E0" w:rsidRDefault="00EE30E0" w:rsidP="002748F5">
            <w:pPr>
              <w:ind w:left="-108" w:right="-90"/>
              <w:jc w:val="center"/>
              <w:rPr>
                <w:rFonts w:ascii="CG Times" w:hAnsi="CG Times" w:cs="CG Times"/>
              </w:rPr>
            </w:pPr>
            <w:r>
              <w:rPr>
                <w:rFonts w:ascii="CG Times" w:hAnsi="CG Times" w:cs="CG Times"/>
              </w:rPr>
              <w:t>K</w:t>
            </w:r>
          </w:p>
        </w:tc>
        <w:tc>
          <w:tcPr>
            <w:tcW w:w="513" w:type="dxa"/>
            <w:vAlign w:val="center"/>
          </w:tcPr>
          <w:p w:rsidR="00EE30E0" w:rsidRDefault="00EE30E0" w:rsidP="002748F5">
            <w:pPr>
              <w:ind w:left="-108" w:right="-90"/>
              <w:jc w:val="center"/>
              <w:rPr>
                <w:rFonts w:ascii="CG Times" w:hAnsi="CG Times" w:cs="CG Times"/>
              </w:rPr>
            </w:pPr>
            <w:r>
              <w:rPr>
                <w:rFonts w:ascii="CG Times" w:hAnsi="CG Times" w:cs="CG Times"/>
              </w:rPr>
              <w:t>n</w:t>
            </w:r>
          </w:p>
        </w:tc>
        <w:tc>
          <w:tcPr>
            <w:tcW w:w="3879" w:type="dxa"/>
          </w:tcPr>
          <w:p w:rsidR="00EE30E0" w:rsidRDefault="00EE30E0" w:rsidP="002748F5">
            <w:pPr>
              <w:ind w:left="-72"/>
              <w:rPr>
                <w:rFonts w:ascii="CG Times" w:hAnsi="CG Times" w:cs="CG Times"/>
              </w:rPr>
            </w:pPr>
          </w:p>
        </w:tc>
      </w:tr>
      <w:tr w:rsidR="00EE30E0">
        <w:tblPrEx>
          <w:tblCellMar>
            <w:top w:w="0" w:type="dxa"/>
            <w:bottom w:w="0" w:type="dxa"/>
          </w:tblCellMar>
        </w:tblPrEx>
        <w:tc>
          <w:tcPr>
            <w:tcW w:w="393" w:type="dxa"/>
            <w:vMerge/>
            <w:vAlign w:val="center"/>
          </w:tcPr>
          <w:p w:rsidR="00EE30E0" w:rsidRDefault="00EE30E0" w:rsidP="002748F5">
            <w:pPr>
              <w:rPr>
                <w:rFonts w:ascii="CG Times" w:hAnsi="CG Times" w:cs="CG Times"/>
              </w:rPr>
            </w:pPr>
          </w:p>
        </w:tc>
        <w:tc>
          <w:tcPr>
            <w:tcW w:w="255" w:type="dxa"/>
            <w:vMerge/>
            <w:vAlign w:val="center"/>
          </w:tcPr>
          <w:p w:rsidR="00EE30E0" w:rsidRDefault="00EE30E0" w:rsidP="002748F5">
            <w:pPr>
              <w:rPr>
                <w:rFonts w:ascii="CG Times" w:hAnsi="CG Times" w:cs="CG Times"/>
              </w:rPr>
            </w:pPr>
          </w:p>
        </w:tc>
        <w:tc>
          <w:tcPr>
            <w:tcW w:w="279" w:type="dxa"/>
            <w:vMerge/>
          </w:tcPr>
          <w:p w:rsidR="00EE30E0" w:rsidRDefault="00EE30E0" w:rsidP="002748F5">
            <w:pPr>
              <w:ind w:left="-108" w:right="-90"/>
              <w:jc w:val="center"/>
              <w:rPr>
                <w:rFonts w:ascii="CG Times" w:hAnsi="CG Times" w:cs="CG Times"/>
              </w:rPr>
            </w:pPr>
          </w:p>
        </w:tc>
        <w:tc>
          <w:tcPr>
            <w:tcW w:w="513" w:type="dxa"/>
            <w:vAlign w:val="center"/>
          </w:tcPr>
          <w:p w:rsidR="00EE30E0" w:rsidRDefault="00EE30E0" w:rsidP="002748F5">
            <w:pPr>
              <w:ind w:left="-108" w:right="-90"/>
              <w:jc w:val="center"/>
              <w:rPr>
                <w:rFonts w:ascii="CG Times" w:hAnsi="CG Times" w:cs="CG Times"/>
              </w:rPr>
            </w:pPr>
            <w:r>
              <w:rPr>
                <w:rFonts w:ascii="CG Times" w:hAnsi="CG Times" w:cs="CG Times"/>
              </w:rPr>
              <w:sym w:font="Symbol" w:char="F0E5"/>
            </w:r>
          </w:p>
        </w:tc>
        <w:tc>
          <w:tcPr>
            <w:tcW w:w="3879" w:type="dxa"/>
          </w:tcPr>
          <w:p w:rsidR="00EE30E0" w:rsidRDefault="00EE30E0" w:rsidP="002748F5">
            <w:pPr>
              <w:ind w:left="-72"/>
              <w:rPr>
                <w:rFonts w:ascii="CG Times" w:hAnsi="CG Times" w:cs="CG Times"/>
              </w:rPr>
            </w:pPr>
            <w:proofErr w:type="spellStart"/>
            <w:r>
              <w:rPr>
                <w:rFonts w:ascii="CG Times" w:hAnsi="CG Times" w:cs="CG Times"/>
              </w:rPr>
              <w:t>CiHi</w:t>
            </w:r>
            <w:proofErr w:type="spellEnd"/>
          </w:p>
        </w:tc>
      </w:tr>
      <w:tr w:rsidR="00EE30E0">
        <w:tblPrEx>
          <w:tblCellMar>
            <w:top w:w="0" w:type="dxa"/>
            <w:bottom w:w="0" w:type="dxa"/>
          </w:tblCellMar>
        </w:tblPrEx>
        <w:tc>
          <w:tcPr>
            <w:tcW w:w="393" w:type="dxa"/>
            <w:vMerge/>
            <w:vAlign w:val="center"/>
          </w:tcPr>
          <w:p w:rsidR="00EE30E0" w:rsidRDefault="00EE30E0" w:rsidP="002748F5">
            <w:pPr>
              <w:rPr>
                <w:rFonts w:ascii="CG Times" w:hAnsi="CG Times" w:cs="CG Times"/>
              </w:rPr>
            </w:pPr>
          </w:p>
        </w:tc>
        <w:tc>
          <w:tcPr>
            <w:tcW w:w="255" w:type="dxa"/>
            <w:vMerge/>
            <w:vAlign w:val="center"/>
          </w:tcPr>
          <w:p w:rsidR="00EE30E0" w:rsidRDefault="00EE30E0" w:rsidP="002748F5">
            <w:pPr>
              <w:rPr>
                <w:rFonts w:ascii="CG Times" w:hAnsi="CG Times" w:cs="CG Times"/>
              </w:rPr>
            </w:pPr>
          </w:p>
        </w:tc>
        <w:tc>
          <w:tcPr>
            <w:tcW w:w="279" w:type="dxa"/>
            <w:vMerge/>
          </w:tcPr>
          <w:p w:rsidR="00EE30E0" w:rsidRDefault="00EE30E0" w:rsidP="002748F5">
            <w:pPr>
              <w:ind w:left="-108" w:right="-90"/>
              <w:jc w:val="center"/>
              <w:rPr>
                <w:rFonts w:ascii="CG Times" w:hAnsi="CG Times" w:cs="CG Times"/>
              </w:rPr>
            </w:pPr>
          </w:p>
        </w:tc>
        <w:tc>
          <w:tcPr>
            <w:tcW w:w="513" w:type="dxa"/>
            <w:vAlign w:val="center"/>
          </w:tcPr>
          <w:p w:rsidR="00EE30E0" w:rsidRDefault="00EE30E0" w:rsidP="002748F5">
            <w:pPr>
              <w:ind w:left="-108" w:right="-90"/>
              <w:jc w:val="center"/>
              <w:rPr>
                <w:rFonts w:ascii="CG Times" w:hAnsi="CG Times" w:cs="CG Times"/>
              </w:rPr>
            </w:pPr>
            <w:r>
              <w:rPr>
                <w:rFonts w:ascii="CG Times" w:hAnsi="CG Times" w:cs="CG Times"/>
              </w:rPr>
              <w:t>i=1</w:t>
            </w:r>
          </w:p>
        </w:tc>
        <w:tc>
          <w:tcPr>
            <w:tcW w:w="3879" w:type="dxa"/>
          </w:tcPr>
          <w:p w:rsidR="00EE30E0" w:rsidRDefault="00EE30E0" w:rsidP="002748F5">
            <w:pPr>
              <w:ind w:left="-72"/>
              <w:rPr>
                <w:rFonts w:ascii="CG Times" w:hAnsi="CG Times" w:cs="CG Times"/>
              </w:rPr>
            </w:pPr>
          </w:p>
        </w:tc>
      </w:tr>
    </w:tbl>
    <w:p w:rsidR="00EE30E0" w:rsidRDefault="00EE30E0" w:rsidP="00FD20BE">
      <w:pPr>
        <w:widowControl w:val="0"/>
        <w:autoSpaceDE w:val="0"/>
        <w:autoSpaceDN w:val="0"/>
        <w:adjustRightInd w:val="0"/>
        <w:ind w:left="1440" w:hanging="720"/>
      </w:pPr>
    </w:p>
    <w:p w:rsidR="00EE30E0" w:rsidRDefault="00EE30E0" w:rsidP="00EE30E0">
      <w:pPr>
        <w:widowControl w:val="0"/>
        <w:autoSpaceDE w:val="0"/>
        <w:autoSpaceDN w:val="0"/>
        <w:adjustRightInd w:val="0"/>
        <w:ind w:left="1440" w:hanging="15"/>
      </w:pPr>
      <w:r>
        <w:t>Where:</w:t>
      </w:r>
    </w:p>
    <w:p w:rsidR="00EE30E0" w:rsidRDefault="00EE30E0" w:rsidP="00EE30E0">
      <w:pPr>
        <w:widowControl w:val="0"/>
        <w:autoSpaceDE w:val="0"/>
        <w:autoSpaceDN w:val="0"/>
        <w:adjustRightInd w:val="0"/>
        <w:ind w:left="1440" w:hanging="15"/>
      </w:pPr>
    </w:p>
    <w:tbl>
      <w:tblPr>
        <w:tblW w:w="0" w:type="auto"/>
        <w:tblInd w:w="2217" w:type="dxa"/>
        <w:tblLook w:val="0000" w:firstRow="0" w:lastRow="0" w:firstColumn="0" w:lastColumn="0" w:noHBand="0" w:noVBand="0"/>
      </w:tblPr>
      <w:tblGrid>
        <w:gridCol w:w="456"/>
        <w:gridCol w:w="399"/>
        <w:gridCol w:w="6504"/>
      </w:tblGrid>
      <w:tr w:rsidR="00EE30E0">
        <w:tblPrEx>
          <w:tblCellMar>
            <w:top w:w="0" w:type="dxa"/>
            <w:bottom w:w="0" w:type="dxa"/>
          </w:tblCellMar>
        </w:tblPrEx>
        <w:tc>
          <w:tcPr>
            <w:tcW w:w="456" w:type="dxa"/>
          </w:tcPr>
          <w:p w:rsidR="00EE30E0" w:rsidRDefault="00EE30E0" w:rsidP="00FD20BE">
            <w:pPr>
              <w:widowControl w:val="0"/>
              <w:autoSpaceDE w:val="0"/>
              <w:autoSpaceDN w:val="0"/>
              <w:adjustRightInd w:val="0"/>
            </w:pPr>
            <w:r>
              <w:t>H</w:t>
            </w:r>
          </w:p>
        </w:tc>
        <w:tc>
          <w:tcPr>
            <w:tcW w:w="399" w:type="dxa"/>
          </w:tcPr>
          <w:p w:rsidR="00EE30E0" w:rsidRDefault="00EE30E0" w:rsidP="00FD20BE">
            <w:pPr>
              <w:widowControl w:val="0"/>
              <w:autoSpaceDE w:val="0"/>
              <w:autoSpaceDN w:val="0"/>
              <w:adjustRightInd w:val="0"/>
            </w:pPr>
            <w:r>
              <w:t>=</w:t>
            </w:r>
          </w:p>
        </w:tc>
        <w:tc>
          <w:tcPr>
            <w:tcW w:w="6504" w:type="dxa"/>
          </w:tcPr>
          <w:p w:rsidR="00EE30E0" w:rsidRDefault="00EE30E0" w:rsidP="00FD20BE">
            <w:pPr>
              <w:widowControl w:val="0"/>
              <w:autoSpaceDE w:val="0"/>
              <w:autoSpaceDN w:val="0"/>
              <w:adjustRightInd w:val="0"/>
            </w:pPr>
            <w:r>
              <w:t>Net heating value of the sample, MJ/</w:t>
            </w:r>
            <w:proofErr w:type="spellStart"/>
            <w:r>
              <w:t>scm</w:t>
            </w:r>
            <w:proofErr w:type="spellEnd"/>
            <w:r>
              <w:t xml:space="preserve">, where the net enthalpy per mole of </w:t>
            </w:r>
            <w:proofErr w:type="spellStart"/>
            <w:r>
              <w:t>offgas</w:t>
            </w:r>
            <w:proofErr w:type="spellEnd"/>
            <w:r>
              <w:t xml:space="preserve"> is based on combustion at 25 C and 760 mm Hg but the standard temperature for determining the volume corresponding to one mole is 20 C, as in the definition of F (vent stream </w:t>
            </w:r>
            <w:proofErr w:type="spellStart"/>
            <w:r>
              <w:t>flowrate</w:t>
            </w:r>
            <w:proofErr w:type="spellEnd"/>
            <w:r>
              <w:t>) below.</w:t>
            </w:r>
          </w:p>
        </w:tc>
      </w:tr>
      <w:tr w:rsidR="00EE30E0">
        <w:tblPrEx>
          <w:tblCellMar>
            <w:top w:w="0" w:type="dxa"/>
            <w:bottom w:w="0" w:type="dxa"/>
          </w:tblCellMar>
        </w:tblPrEx>
        <w:tc>
          <w:tcPr>
            <w:tcW w:w="456" w:type="dxa"/>
          </w:tcPr>
          <w:p w:rsidR="00EE30E0" w:rsidRDefault="00EE30E0" w:rsidP="00FD20BE">
            <w:pPr>
              <w:widowControl w:val="0"/>
              <w:autoSpaceDE w:val="0"/>
              <w:autoSpaceDN w:val="0"/>
              <w:adjustRightInd w:val="0"/>
            </w:pPr>
            <w:r>
              <w:t>K</w:t>
            </w:r>
          </w:p>
        </w:tc>
        <w:tc>
          <w:tcPr>
            <w:tcW w:w="399" w:type="dxa"/>
          </w:tcPr>
          <w:p w:rsidR="00EE30E0" w:rsidRDefault="00EE30E0" w:rsidP="00FD20BE">
            <w:pPr>
              <w:widowControl w:val="0"/>
              <w:autoSpaceDE w:val="0"/>
              <w:autoSpaceDN w:val="0"/>
              <w:adjustRightInd w:val="0"/>
            </w:pPr>
            <w:r>
              <w:t>=</w:t>
            </w:r>
          </w:p>
        </w:tc>
        <w:tc>
          <w:tcPr>
            <w:tcW w:w="6504" w:type="dxa"/>
          </w:tcPr>
          <w:p w:rsidR="00EE30E0" w:rsidRPr="00EE30E0" w:rsidRDefault="00EE30E0" w:rsidP="00FD20BE">
            <w:pPr>
              <w:widowControl w:val="0"/>
              <w:autoSpaceDE w:val="0"/>
              <w:autoSpaceDN w:val="0"/>
              <w:adjustRightInd w:val="0"/>
            </w:pPr>
            <w:r>
              <w:t>Constant, 1.740 x 10</w:t>
            </w:r>
            <w:r>
              <w:rPr>
                <w:vertAlign w:val="superscript"/>
              </w:rPr>
              <w:t>-7</w:t>
            </w:r>
            <w:r>
              <w:t xml:space="preserve"> (1/ppm) (mole/</w:t>
            </w:r>
            <w:proofErr w:type="spellStart"/>
            <w:r>
              <w:t>scm</w:t>
            </w:r>
            <w:proofErr w:type="spellEnd"/>
            <w:r>
              <w:t>) (MJ/kcal) where standard temperature for mole/</w:t>
            </w:r>
            <w:proofErr w:type="spellStart"/>
            <w:r>
              <w:t>scm</w:t>
            </w:r>
            <w:proofErr w:type="spellEnd"/>
            <w:r>
              <w:t xml:space="preserve"> is 20 C.</w:t>
            </w:r>
          </w:p>
        </w:tc>
      </w:tr>
      <w:tr w:rsidR="00EE30E0">
        <w:tblPrEx>
          <w:tblCellMar>
            <w:top w:w="0" w:type="dxa"/>
            <w:bottom w:w="0" w:type="dxa"/>
          </w:tblCellMar>
        </w:tblPrEx>
        <w:tc>
          <w:tcPr>
            <w:tcW w:w="456" w:type="dxa"/>
          </w:tcPr>
          <w:p w:rsidR="00EE30E0" w:rsidRDefault="00EE30E0" w:rsidP="00FD20BE">
            <w:pPr>
              <w:widowControl w:val="0"/>
              <w:autoSpaceDE w:val="0"/>
              <w:autoSpaceDN w:val="0"/>
              <w:adjustRightInd w:val="0"/>
            </w:pPr>
            <w:proofErr w:type="spellStart"/>
            <w:r>
              <w:t>Ci</w:t>
            </w:r>
            <w:proofErr w:type="spellEnd"/>
          </w:p>
        </w:tc>
        <w:tc>
          <w:tcPr>
            <w:tcW w:w="399" w:type="dxa"/>
          </w:tcPr>
          <w:p w:rsidR="00EE30E0" w:rsidRDefault="00EE30E0" w:rsidP="00FD20BE">
            <w:pPr>
              <w:widowControl w:val="0"/>
              <w:autoSpaceDE w:val="0"/>
              <w:autoSpaceDN w:val="0"/>
              <w:adjustRightInd w:val="0"/>
            </w:pPr>
            <w:r>
              <w:t>=</w:t>
            </w:r>
          </w:p>
        </w:tc>
        <w:tc>
          <w:tcPr>
            <w:tcW w:w="6504" w:type="dxa"/>
          </w:tcPr>
          <w:p w:rsidR="00EE30E0" w:rsidRDefault="00EE30E0" w:rsidP="00FD20BE">
            <w:pPr>
              <w:widowControl w:val="0"/>
              <w:autoSpaceDE w:val="0"/>
              <w:autoSpaceDN w:val="0"/>
              <w:adjustRightInd w:val="0"/>
            </w:pPr>
            <w:r>
              <w:t>Concentration of sample component i, reported on a wet basis, in ppm, as measured by Reference Method 18 or ASTM D1946-67 (reapproved 1997), incorporated by reference in Section 215.105.</w:t>
            </w:r>
          </w:p>
        </w:tc>
      </w:tr>
      <w:tr w:rsidR="00EE30E0">
        <w:tblPrEx>
          <w:tblCellMar>
            <w:top w:w="0" w:type="dxa"/>
            <w:bottom w:w="0" w:type="dxa"/>
          </w:tblCellMar>
        </w:tblPrEx>
        <w:tc>
          <w:tcPr>
            <w:tcW w:w="456" w:type="dxa"/>
          </w:tcPr>
          <w:p w:rsidR="00EE30E0" w:rsidRDefault="00EE30E0" w:rsidP="00FD20BE">
            <w:pPr>
              <w:widowControl w:val="0"/>
              <w:autoSpaceDE w:val="0"/>
              <w:autoSpaceDN w:val="0"/>
              <w:adjustRightInd w:val="0"/>
            </w:pPr>
            <w:r>
              <w:t>Hi</w:t>
            </w:r>
          </w:p>
        </w:tc>
        <w:tc>
          <w:tcPr>
            <w:tcW w:w="399" w:type="dxa"/>
          </w:tcPr>
          <w:p w:rsidR="00EE30E0" w:rsidRDefault="00EE30E0" w:rsidP="00FD20BE">
            <w:pPr>
              <w:widowControl w:val="0"/>
              <w:autoSpaceDE w:val="0"/>
              <w:autoSpaceDN w:val="0"/>
              <w:adjustRightInd w:val="0"/>
            </w:pPr>
            <w:r>
              <w:t>=</w:t>
            </w:r>
          </w:p>
        </w:tc>
        <w:tc>
          <w:tcPr>
            <w:tcW w:w="6504" w:type="dxa"/>
          </w:tcPr>
          <w:p w:rsidR="00EE30E0" w:rsidRDefault="00EE30E0" w:rsidP="00FD20BE">
            <w:pPr>
              <w:widowControl w:val="0"/>
              <w:autoSpaceDE w:val="0"/>
              <w:autoSpaceDN w:val="0"/>
              <w:adjustRightInd w:val="0"/>
            </w:pPr>
            <w:r>
              <w:t xml:space="preserve">Net heat of combustion of sample component </w:t>
            </w:r>
            <w:r w:rsidR="007919AC">
              <w:t>i</w:t>
            </w:r>
            <w:r>
              <w:t>, kcal/mole based on combustion at 25 C and 760 mm Hg. If published values are not available, or cannot be calculated, the heats of combustion of vent stream components are required to be determined using ASTM D2382-76, incorporated by reference in Section 215.105.</w:t>
            </w:r>
          </w:p>
        </w:tc>
      </w:tr>
    </w:tbl>
    <w:p w:rsidR="00FD20BE" w:rsidRDefault="00FD20BE" w:rsidP="00FD20BE">
      <w:pPr>
        <w:widowControl w:val="0"/>
        <w:autoSpaceDE w:val="0"/>
        <w:autoSpaceDN w:val="0"/>
        <w:adjustRightInd w:val="0"/>
      </w:pPr>
    </w:p>
    <w:p w:rsidR="00FD20BE" w:rsidRDefault="00FD20BE" w:rsidP="00EE30E0">
      <w:pPr>
        <w:widowControl w:val="0"/>
        <w:autoSpaceDE w:val="0"/>
        <w:autoSpaceDN w:val="0"/>
        <w:adjustRightInd w:val="0"/>
        <w:ind w:left="1440" w:hanging="720"/>
      </w:pPr>
      <w:r>
        <w:t>e)</w:t>
      </w:r>
      <w:r>
        <w:tab/>
        <w:t>The emission rate of total organic compounds in t</w:t>
      </w:r>
      <w:r w:rsidR="00EE30E0">
        <w:t xml:space="preserve">he process vent stream shall be </w:t>
      </w:r>
      <w:r>
        <w:t xml:space="preserve">calculated using the following equation: </w:t>
      </w:r>
    </w:p>
    <w:p w:rsidR="00FD20BE" w:rsidRDefault="00FD20BE" w:rsidP="00EE30E0">
      <w:pPr>
        <w:widowControl w:val="0"/>
        <w:autoSpaceDE w:val="0"/>
        <w:autoSpaceDN w:val="0"/>
        <w:adjustRightInd w:val="0"/>
        <w:ind w:left="1440" w:hanging="720"/>
      </w:pPr>
    </w:p>
    <w:tbl>
      <w:tblPr>
        <w:tblW w:w="5319" w:type="dxa"/>
        <w:tblInd w:w="3708" w:type="dxa"/>
        <w:tblLayout w:type="fixed"/>
        <w:tblLook w:val="0000" w:firstRow="0" w:lastRow="0" w:firstColumn="0" w:lastColumn="0" w:noHBand="0" w:noVBand="0"/>
      </w:tblPr>
      <w:tblGrid>
        <w:gridCol w:w="393"/>
        <w:gridCol w:w="255"/>
        <w:gridCol w:w="612"/>
        <w:gridCol w:w="540"/>
        <w:gridCol w:w="3519"/>
      </w:tblGrid>
      <w:tr w:rsidR="00EE30E0">
        <w:tblPrEx>
          <w:tblCellMar>
            <w:top w:w="0" w:type="dxa"/>
            <w:bottom w:w="0" w:type="dxa"/>
          </w:tblCellMar>
        </w:tblPrEx>
        <w:tc>
          <w:tcPr>
            <w:tcW w:w="393" w:type="dxa"/>
            <w:vMerge w:val="restart"/>
            <w:vAlign w:val="center"/>
          </w:tcPr>
          <w:p w:rsidR="00EE30E0" w:rsidRDefault="00EE30E0" w:rsidP="002748F5">
            <w:pPr>
              <w:rPr>
                <w:rFonts w:ascii="CG Times" w:hAnsi="CG Times" w:cs="CG Times"/>
              </w:rPr>
            </w:pPr>
            <w:r>
              <w:rPr>
                <w:rFonts w:ascii="CG Times" w:hAnsi="CG Times" w:cs="CG Times"/>
              </w:rPr>
              <w:t>E</w:t>
            </w:r>
          </w:p>
        </w:tc>
        <w:tc>
          <w:tcPr>
            <w:tcW w:w="255" w:type="dxa"/>
            <w:vMerge w:val="restart"/>
            <w:vAlign w:val="center"/>
          </w:tcPr>
          <w:p w:rsidR="00EE30E0" w:rsidRDefault="00EE30E0" w:rsidP="002748F5">
            <w:pPr>
              <w:ind w:left="-141" w:right="-90"/>
              <w:jc w:val="center"/>
              <w:rPr>
                <w:rFonts w:ascii="CG Times" w:hAnsi="CG Times" w:cs="CG Times"/>
              </w:rPr>
            </w:pPr>
            <w:r>
              <w:rPr>
                <w:rFonts w:ascii="CG Times" w:hAnsi="CG Times" w:cs="CG Times"/>
              </w:rPr>
              <w:t>=</w:t>
            </w:r>
          </w:p>
        </w:tc>
        <w:tc>
          <w:tcPr>
            <w:tcW w:w="612" w:type="dxa"/>
            <w:vMerge w:val="restart"/>
            <w:vAlign w:val="center"/>
          </w:tcPr>
          <w:p w:rsidR="00EE30E0" w:rsidRDefault="00EE30E0" w:rsidP="002748F5">
            <w:pPr>
              <w:ind w:left="-108" w:right="-90"/>
              <w:jc w:val="center"/>
              <w:rPr>
                <w:rFonts w:ascii="CG Times" w:hAnsi="CG Times" w:cs="CG Times"/>
              </w:rPr>
            </w:pPr>
            <w:r>
              <w:rPr>
                <w:rFonts w:ascii="CG Times" w:hAnsi="CG Times" w:cs="CG Times"/>
              </w:rPr>
              <w:t>K'F</w:t>
            </w:r>
          </w:p>
        </w:tc>
        <w:tc>
          <w:tcPr>
            <w:tcW w:w="540" w:type="dxa"/>
            <w:vAlign w:val="center"/>
          </w:tcPr>
          <w:p w:rsidR="00EE30E0" w:rsidRDefault="00EE30E0" w:rsidP="002748F5">
            <w:pPr>
              <w:ind w:left="-108" w:right="-90"/>
              <w:jc w:val="center"/>
              <w:rPr>
                <w:rFonts w:ascii="CG Times" w:hAnsi="CG Times" w:cs="CG Times"/>
              </w:rPr>
            </w:pPr>
            <w:r>
              <w:rPr>
                <w:rFonts w:ascii="CG Times" w:hAnsi="CG Times" w:cs="CG Times"/>
              </w:rPr>
              <w:t>n</w:t>
            </w:r>
          </w:p>
        </w:tc>
        <w:tc>
          <w:tcPr>
            <w:tcW w:w="3519" w:type="dxa"/>
          </w:tcPr>
          <w:p w:rsidR="00EE30E0" w:rsidRDefault="00EE30E0" w:rsidP="002748F5">
            <w:pPr>
              <w:ind w:left="-72"/>
              <w:rPr>
                <w:rFonts w:ascii="CG Times" w:hAnsi="CG Times" w:cs="CG Times"/>
              </w:rPr>
            </w:pPr>
          </w:p>
        </w:tc>
      </w:tr>
      <w:tr w:rsidR="00EE30E0">
        <w:tblPrEx>
          <w:tblCellMar>
            <w:top w:w="0" w:type="dxa"/>
            <w:bottom w:w="0" w:type="dxa"/>
          </w:tblCellMar>
        </w:tblPrEx>
        <w:tc>
          <w:tcPr>
            <w:tcW w:w="393" w:type="dxa"/>
            <w:vMerge/>
            <w:vAlign w:val="center"/>
          </w:tcPr>
          <w:p w:rsidR="00EE30E0" w:rsidRDefault="00EE30E0" w:rsidP="002748F5">
            <w:pPr>
              <w:rPr>
                <w:rFonts w:ascii="CG Times" w:hAnsi="CG Times" w:cs="CG Times"/>
              </w:rPr>
            </w:pPr>
          </w:p>
        </w:tc>
        <w:tc>
          <w:tcPr>
            <w:tcW w:w="255" w:type="dxa"/>
            <w:vMerge/>
            <w:vAlign w:val="center"/>
          </w:tcPr>
          <w:p w:rsidR="00EE30E0" w:rsidRDefault="00EE30E0" w:rsidP="002748F5">
            <w:pPr>
              <w:rPr>
                <w:rFonts w:ascii="CG Times" w:hAnsi="CG Times" w:cs="CG Times"/>
              </w:rPr>
            </w:pPr>
          </w:p>
        </w:tc>
        <w:tc>
          <w:tcPr>
            <w:tcW w:w="612" w:type="dxa"/>
            <w:vMerge/>
          </w:tcPr>
          <w:p w:rsidR="00EE30E0" w:rsidRDefault="00EE30E0" w:rsidP="002748F5">
            <w:pPr>
              <w:ind w:left="-108" w:right="-90"/>
              <w:jc w:val="center"/>
              <w:rPr>
                <w:rFonts w:ascii="CG Times" w:hAnsi="CG Times" w:cs="CG Times"/>
              </w:rPr>
            </w:pPr>
          </w:p>
        </w:tc>
        <w:tc>
          <w:tcPr>
            <w:tcW w:w="540" w:type="dxa"/>
            <w:vAlign w:val="center"/>
          </w:tcPr>
          <w:p w:rsidR="00EE30E0" w:rsidRDefault="00EE30E0" w:rsidP="002748F5">
            <w:pPr>
              <w:ind w:left="-108" w:right="-90"/>
              <w:jc w:val="center"/>
              <w:rPr>
                <w:rFonts w:ascii="CG Times" w:hAnsi="CG Times" w:cs="CG Times"/>
              </w:rPr>
            </w:pPr>
            <w:r>
              <w:rPr>
                <w:rFonts w:ascii="CG Times" w:hAnsi="CG Times" w:cs="CG Times"/>
              </w:rPr>
              <w:sym w:font="Symbol" w:char="F0E5"/>
            </w:r>
          </w:p>
        </w:tc>
        <w:tc>
          <w:tcPr>
            <w:tcW w:w="3519" w:type="dxa"/>
          </w:tcPr>
          <w:p w:rsidR="00EE30E0" w:rsidRDefault="00EE30E0" w:rsidP="002748F5">
            <w:pPr>
              <w:ind w:left="-72"/>
              <w:rPr>
                <w:rFonts w:ascii="CG Times" w:hAnsi="CG Times" w:cs="CG Times"/>
              </w:rPr>
            </w:pPr>
            <w:proofErr w:type="spellStart"/>
            <w:r>
              <w:rPr>
                <w:rFonts w:ascii="CG Times" w:hAnsi="CG Times" w:cs="CG Times"/>
              </w:rPr>
              <w:t>CiMi</w:t>
            </w:r>
            <w:proofErr w:type="spellEnd"/>
          </w:p>
        </w:tc>
      </w:tr>
      <w:tr w:rsidR="00EE30E0">
        <w:tblPrEx>
          <w:tblCellMar>
            <w:top w:w="0" w:type="dxa"/>
            <w:bottom w:w="0" w:type="dxa"/>
          </w:tblCellMar>
        </w:tblPrEx>
        <w:tc>
          <w:tcPr>
            <w:tcW w:w="393" w:type="dxa"/>
            <w:vMerge/>
            <w:vAlign w:val="center"/>
          </w:tcPr>
          <w:p w:rsidR="00EE30E0" w:rsidRDefault="00EE30E0" w:rsidP="002748F5">
            <w:pPr>
              <w:rPr>
                <w:rFonts w:ascii="CG Times" w:hAnsi="CG Times" w:cs="CG Times"/>
              </w:rPr>
            </w:pPr>
          </w:p>
        </w:tc>
        <w:tc>
          <w:tcPr>
            <w:tcW w:w="255" w:type="dxa"/>
            <w:vMerge/>
            <w:vAlign w:val="center"/>
          </w:tcPr>
          <w:p w:rsidR="00EE30E0" w:rsidRDefault="00EE30E0" w:rsidP="002748F5">
            <w:pPr>
              <w:rPr>
                <w:rFonts w:ascii="CG Times" w:hAnsi="CG Times" w:cs="CG Times"/>
              </w:rPr>
            </w:pPr>
          </w:p>
        </w:tc>
        <w:tc>
          <w:tcPr>
            <w:tcW w:w="612" w:type="dxa"/>
            <w:vMerge/>
          </w:tcPr>
          <w:p w:rsidR="00EE30E0" w:rsidRDefault="00EE30E0" w:rsidP="002748F5">
            <w:pPr>
              <w:ind w:left="-108" w:right="-90"/>
              <w:jc w:val="center"/>
              <w:rPr>
                <w:rFonts w:ascii="CG Times" w:hAnsi="CG Times" w:cs="CG Times"/>
              </w:rPr>
            </w:pPr>
          </w:p>
        </w:tc>
        <w:tc>
          <w:tcPr>
            <w:tcW w:w="540" w:type="dxa"/>
            <w:vAlign w:val="center"/>
          </w:tcPr>
          <w:p w:rsidR="00EE30E0" w:rsidRDefault="00EE30E0" w:rsidP="002748F5">
            <w:pPr>
              <w:ind w:left="-108" w:right="-90"/>
              <w:jc w:val="center"/>
              <w:rPr>
                <w:rFonts w:ascii="CG Times" w:hAnsi="CG Times" w:cs="CG Times"/>
              </w:rPr>
            </w:pPr>
            <w:r>
              <w:rPr>
                <w:rFonts w:ascii="CG Times" w:hAnsi="CG Times" w:cs="CG Times"/>
              </w:rPr>
              <w:t>i=1</w:t>
            </w:r>
          </w:p>
        </w:tc>
        <w:tc>
          <w:tcPr>
            <w:tcW w:w="3519" w:type="dxa"/>
          </w:tcPr>
          <w:p w:rsidR="00EE30E0" w:rsidRDefault="00EE30E0" w:rsidP="002748F5">
            <w:pPr>
              <w:ind w:left="-72"/>
              <w:rPr>
                <w:rFonts w:ascii="CG Times" w:hAnsi="CG Times" w:cs="CG Times"/>
              </w:rPr>
            </w:pPr>
          </w:p>
        </w:tc>
      </w:tr>
    </w:tbl>
    <w:p w:rsidR="00FD20BE" w:rsidRDefault="00FD20BE" w:rsidP="00FD20BE">
      <w:pPr>
        <w:widowControl w:val="0"/>
        <w:autoSpaceDE w:val="0"/>
        <w:autoSpaceDN w:val="0"/>
        <w:adjustRightInd w:val="0"/>
        <w:ind w:left="1440" w:hanging="720"/>
      </w:pPr>
    </w:p>
    <w:p w:rsidR="00EE30E0" w:rsidRDefault="00EE30E0" w:rsidP="00EE30E0">
      <w:pPr>
        <w:widowControl w:val="0"/>
        <w:autoSpaceDE w:val="0"/>
        <w:autoSpaceDN w:val="0"/>
        <w:adjustRightInd w:val="0"/>
        <w:ind w:left="1440" w:hanging="15"/>
      </w:pPr>
      <w:r>
        <w:t>Where:</w:t>
      </w:r>
    </w:p>
    <w:p w:rsidR="00EE30E0" w:rsidRDefault="00EE30E0" w:rsidP="00FD20BE">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497"/>
        <w:gridCol w:w="399"/>
        <w:gridCol w:w="6463"/>
      </w:tblGrid>
      <w:tr w:rsidR="00EE30E0">
        <w:tblPrEx>
          <w:tblCellMar>
            <w:top w:w="0" w:type="dxa"/>
            <w:bottom w:w="0" w:type="dxa"/>
          </w:tblCellMar>
        </w:tblPrEx>
        <w:tc>
          <w:tcPr>
            <w:tcW w:w="497" w:type="dxa"/>
          </w:tcPr>
          <w:p w:rsidR="00EE30E0" w:rsidRDefault="00EE30E0" w:rsidP="002748F5">
            <w:pPr>
              <w:widowControl w:val="0"/>
              <w:autoSpaceDE w:val="0"/>
              <w:autoSpaceDN w:val="0"/>
              <w:adjustRightInd w:val="0"/>
            </w:pPr>
            <w:r>
              <w:t>E</w:t>
            </w:r>
          </w:p>
        </w:tc>
        <w:tc>
          <w:tcPr>
            <w:tcW w:w="399" w:type="dxa"/>
          </w:tcPr>
          <w:p w:rsidR="00EE30E0" w:rsidRDefault="00EE30E0" w:rsidP="002748F5">
            <w:pPr>
              <w:widowControl w:val="0"/>
              <w:autoSpaceDE w:val="0"/>
              <w:autoSpaceDN w:val="0"/>
              <w:adjustRightInd w:val="0"/>
            </w:pPr>
            <w:r>
              <w:t>=</w:t>
            </w:r>
          </w:p>
        </w:tc>
        <w:tc>
          <w:tcPr>
            <w:tcW w:w="6463" w:type="dxa"/>
          </w:tcPr>
          <w:p w:rsidR="00EE30E0" w:rsidRDefault="00EE30E0" w:rsidP="002748F5">
            <w:pPr>
              <w:widowControl w:val="0"/>
              <w:autoSpaceDE w:val="0"/>
              <w:autoSpaceDN w:val="0"/>
              <w:adjustRightInd w:val="0"/>
            </w:pPr>
            <w:r>
              <w:t xml:space="preserve">Emission rate of total organic compounds (minus methane and ethane) in the sample in kg/hr. </w:t>
            </w:r>
          </w:p>
        </w:tc>
      </w:tr>
      <w:tr w:rsidR="00EE30E0" w:rsidRPr="00EE30E0">
        <w:tblPrEx>
          <w:tblCellMar>
            <w:top w:w="0" w:type="dxa"/>
            <w:bottom w:w="0" w:type="dxa"/>
          </w:tblCellMar>
        </w:tblPrEx>
        <w:tc>
          <w:tcPr>
            <w:tcW w:w="497" w:type="dxa"/>
          </w:tcPr>
          <w:p w:rsidR="00EE30E0" w:rsidRDefault="00EE30E0" w:rsidP="002748F5">
            <w:pPr>
              <w:widowControl w:val="0"/>
              <w:autoSpaceDE w:val="0"/>
              <w:autoSpaceDN w:val="0"/>
              <w:adjustRightInd w:val="0"/>
            </w:pPr>
            <w:r>
              <w:t>K'</w:t>
            </w:r>
          </w:p>
        </w:tc>
        <w:tc>
          <w:tcPr>
            <w:tcW w:w="399" w:type="dxa"/>
          </w:tcPr>
          <w:p w:rsidR="00EE30E0" w:rsidRDefault="00EE30E0" w:rsidP="002748F5">
            <w:pPr>
              <w:widowControl w:val="0"/>
              <w:autoSpaceDE w:val="0"/>
              <w:autoSpaceDN w:val="0"/>
              <w:adjustRightInd w:val="0"/>
            </w:pPr>
            <w:r>
              <w:t>=</w:t>
            </w:r>
          </w:p>
        </w:tc>
        <w:tc>
          <w:tcPr>
            <w:tcW w:w="6463" w:type="dxa"/>
          </w:tcPr>
          <w:p w:rsidR="00EE30E0" w:rsidRPr="00EE30E0" w:rsidRDefault="00EE30E0" w:rsidP="002748F5">
            <w:pPr>
              <w:widowControl w:val="0"/>
              <w:autoSpaceDE w:val="0"/>
              <w:autoSpaceDN w:val="0"/>
              <w:adjustRightInd w:val="0"/>
            </w:pPr>
            <w:r>
              <w:t>Constant, 2.494 x 10</w:t>
            </w:r>
            <w:r>
              <w:rPr>
                <w:vertAlign w:val="superscript"/>
              </w:rPr>
              <w:t>-6</w:t>
            </w:r>
            <w:r>
              <w:t xml:space="preserve"> (1/ppm) (mole/</w:t>
            </w:r>
            <w:proofErr w:type="spellStart"/>
            <w:r>
              <w:t>scm</w:t>
            </w:r>
            <w:proofErr w:type="spellEnd"/>
            <w:r>
              <w:t>) (</w:t>
            </w:r>
            <w:proofErr w:type="spellStart"/>
            <w:r w:rsidR="007919AC">
              <w:t>kj</w:t>
            </w:r>
            <w:proofErr w:type="spellEnd"/>
            <w:r>
              <w:t>/g) (min/hr), where standard temperature for mole/</w:t>
            </w:r>
            <w:proofErr w:type="spellStart"/>
            <w:r>
              <w:t>scm</w:t>
            </w:r>
            <w:proofErr w:type="spellEnd"/>
            <w:r>
              <w:t xml:space="preserve"> is 20 C.</w:t>
            </w:r>
          </w:p>
        </w:tc>
      </w:tr>
      <w:tr w:rsidR="00EE30E0">
        <w:tblPrEx>
          <w:tblCellMar>
            <w:top w:w="0" w:type="dxa"/>
            <w:bottom w:w="0" w:type="dxa"/>
          </w:tblCellMar>
        </w:tblPrEx>
        <w:tc>
          <w:tcPr>
            <w:tcW w:w="497" w:type="dxa"/>
          </w:tcPr>
          <w:p w:rsidR="00EE30E0" w:rsidRDefault="00EE30E0" w:rsidP="002748F5">
            <w:pPr>
              <w:widowControl w:val="0"/>
              <w:autoSpaceDE w:val="0"/>
              <w:autoSpaceDN w:val="0"/>
              <w:adjustRightInd w:val="0"/>
            </w:pPr>
            <w:r>
              <w:t>Mi</w:t>
            </w:r>
          </w:p>
        </w:tc>
        <w:tc>
          <w:tcPr>
            <w:tcW w:w="399" w:type="dxa"/>
          </w:tcPr>
          <w:p w:rsidR="00EE30E0" w:rsidRDefault="00EE30E0" w:rsidP="002748F5">
            <w:pPr>
              <w:widowControl w:val="0"/>
              <w:autoSpaceDE w:val="0"/>
              <w:autoSpaceDN w:val="0"/>
              <w:adjustRightInd w:val="0"/>
            </w:pPr>
            <w:r>
              <w:t>=</w:t>
            </w:r>
          </w:p>
        </w:tc>
        <w:tc>
          <w:tcPr>
            <w:tcW w:w="6463" w:type="dxa"/>
          </w:tcPr>
          <w:p w:rsidR="00EE30E0" w:rsidRDefault="00EE30E0" w:rsidP="002748F5">
            <w:pPr>
              <w:widowControl w:val="0"/>
              <w:autoSpaceDE w:val="0"/>
              <w:autoSpaceDN w:val="0"/>
              <w:adjustRightInd w:val="0"/>
            </w:pPr>
            <w:r>
              <w:t xml:space="preserve">Molecular weight of sample component </w:t>
            </w:r>
            <w:proofErr w:type="spellStart"/>
            <w:r w:rsidR="007919AC">
              <w:t>i</w:t>
            </w:r>
            <w:proofErr w:type="spellEnd"/>
            <w:r>
              <w:t xml:space="preserve"> (g/mole).</w:t>
            </w:r>
          </w:p>
        </w:tc>
      </w:tr>
      <w:tr w:rsidR="00EE30E0">
        <w:tblPrEx>
          <w:tblCellMar>
            <w:top w:w="0" w:type="dxa"/>
            <w:bottom w:w="0" w:type="dxa"/>
          </w:tblCellMar>
        </w:tblPrEx>
        <w:tc>
          <w:tcPr>
            <w:tcW w:w="497" w:type="dxa"/>
          </w:tcPr>
          <w:p w:rsidR="00EE30E0" w:rsidRDefault="000D4A0A" w:rsidP="002748F5">
            <w:pPr>
              <w:widowControl w:val="0"/>
              <w:autoSpaceDE w:val="0"/>
              <w:autoSpaceDN w:val="0"/>
              <w:adjustRightInd w:val="0"/>
            </w:pPr>
            <w:r>
              <w:t>F</w:t>
            </w:r>
          </w:p>
        </w:tc>
        <w:tc>
          <w:tcPr>
            <w:tcW w:w="399" w:type="dxa"/>
          </w:tcPr>
          <w:p w:rsidR="00EE30E0" w:rsidRDefault="00EE30E0" w:rsidP="002748F5">
            <w:pPr>
              <w:widowControl w:val="0"/>
              <w:autoSpaceDE w:val="0"/>
              <w:autoSpaceDN w:val="0"/>
              <w:adjustRightInd w:val="0"/>
            </w:pPr>
            <w:r>
              <w:t>=</w:t>
            </w:r>
          </w:p>
        </w:tc>
        <w:tc>
          <w:tcPr>
            <w:tcW w:w="6463" w:type="dxa"/>
          </w:tcPr>
          <w:p w:rsidR="00EE30E0" w:rsidRDefault="000D4A0A" w:rsidP="002748F5">
            <w:pPr>
              <w:widowControl w:val="0"/>
              <w:autoSpaceDE w:val="0"/>
              <w:autoSpaceDN w:val="0"/>
              <w:adjustRightInd w:val="0"/>
            </w:pPr>
            <w:r>
              <w:t xml:space="preserve">Vent stream </w:t>
            </w:r>
            <w:proofErr w:type="spellStart"/>
            <w:r>
              <w:t>flowrate</w:t>
            </w:r>
            <w:proofErr w:type="spellEnd"/>
            <w:r>
              <w:t xml:space="preserve"> (</w:t>
            </w:r>
            <w:proofErr w:type="spellStart"/>
            <w:r>
              <w:t>scm</w:t>
            </w:r>
            <w:proofErr w:type="spellEnd"/>
            <w:r>
              <w:t>/min), at a standard temperature of 20 C.</w:t>
            </w:r>
          </w:p>
        </w:tc>
      </w:tr>
    </w:tbl>
    <w:p w:rsidR="00EE30E0" w:rsidRDefault="00EE30E0" w:rsidP="00FD20BE">
      <w:pPr>
        <w:widowControl w:val="0"/>
        <w:autoSpaceDE w:val="0"/>
        <w:autoSpaceDN w:val="0"/>
        <w:adjustRightInd w:val="0"/>
        <w:ind w:left="1440" w:hanging="720"/>
      </w:pPr>
    </w:p>
    <w:p w:rsidR="00FD20BE" w:rsidRDefault="00FD20BE" w:rsidP="000D4A0A">
      <w:pPr>
        <w:widowControl w:val="0"/>
        <w:autoSpaceDE w:val="0"/>
        <w:autoSpaceDN w:val="0"/>
        <w:adjustRightInd w:val="0"/>
        <w:ind w:left="1425" w:hanging="705"/>
      </w:pPr>
      <w:r>
        <w:t>f)</w:t>
      </w:r>
      <w:r>
        <w:tab/>
        <w:t>The total vent stream concentration (by volume) of compo</w:t>
      </w:r>
      <w:r w:rsidR="000D4A0A">
        <w:t>u</w:t>
      </w:r>
      <w:r>
        <w:t>nds containing halogens (</w:t>
      </w:r>
      <w:proofErr w:type="spellStart"/>
      <w:r>
        <w:t>ppmv</w:t>
      </w:r>
      <w:proofErr w:type="spellEnd"/>
      <w:r>
        <w:t xml:space="preserve">, by compound) shall be summed from the individual concentrations of compounds containing halogens which were measured by Reference Method 18. </w:t>
      </w:r>
    </w:p>
    <w:p w:rsidR="00FD20BE" w:rsidRDefault="00FD20BE" w:rsidP="00FD20BE">
      <w:pPr>
        <w:widowControl w:val="0"/>
        <w:autoSpaceDE w:val="0"/>
        <w:autoSpaceDN w:val="0"/>
        <w:adjustRightInd w:val="0"/>
        <w:ind w:left="1440" w:hanging="720"/>
        <w:jc w:val="center"/>
      </w:pPr>
    </w:p>
    <w:p w:rsidR="00FD20BE" w:rsidRDefault="00FD20BE" w:rsidP="00FD20BE">
      <w:pPr>
        <w:widowControl w:val="0"/>
        <w:autoSpaceDE w:val="0"/>
        <w:autoSpaceDN w:val="0"/>
        <w:adjustRightInd w:val="0"/>
        <w:ind w:left="1440" w:hanging="720"/>
        <w:jc w:val="center"/>
      </w:pPr>
      <w:r>
        <w:t xml:space="preserve">(Source:  Added at 11 Ill. Reg. 20829, effective December 14, 1987) </w:t>
      </w:r>
    </w:p>
    <w:sectPr w:rsidR="00FD20BE" w:rsidSect="00FD20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swiss"/>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0BE"/>
    <w:rsid w:val="000D4A0A"/>
    <w:rsid w:val="002748F5"/>
    <w:rsid w:val="005C3366"/>
    <w:rsid w:val="005F4AA1"/>
    <w:rsid w:val="00686A97"/>
    <w:rsid w:val="007919AC"/>
    <w:rsid w:val="009211AB"/>
    <w:rsid w:val="00B63924"/>
    <w:rsid w:val="00DF7674"/>
    <w:rsid w:val="00EE30E0"/>
    <w:rsid w:val="00FD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D4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D4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cp:lastPrinted>2003-02-24T16:31:00Z</cp:lastPrinted>
  <dcterms:created xsi:type="dcterms:W3CDTF">2012-06-21T19:28:00Z</dcterms:created>
  <dcterms:modified xsi:type="dcterms:W3CDTF">2012-06-21T19:28:00Z</dcterms:modified>
</cp:coreProperties>
</file>